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tblpY="-1795"/>
        <w:tblW w:w="14864" w:type="dxa"/>
        <w:tblInd w:w="0" w:type="dxa"/>
        <w:tblLayout w:type="fixed"/>
        <w:tblCellMar>
          <w:top w:w="0" w:type="dxa"/>
          <w:left w:w="108" w:type="dxa"/>
          <w:bottom w:w="0" w:type="dxa"/>
          <w:right w:w="108" w:type="dxa"/>
        </w:tblCellMar>
      </w:tblPr>
      <w:tblGrid>
        <w:gridCol w:w="978"/>
        <w:gridCol w:w="1920"/>
        <w:gridCol w:w="2239"/>
        <w:gridCol w:w="3200"/>
        <w:gridCol w:w="1600"/>
        <w:gridCol w:w="1440"/>
        <w:gridCol w:w="1439"/>
        <w:gridCol w:w="2048"/>
      </w:tblGrid>
      <w:tr>
        <w:tblPrEx>
          <w:tblLayout w:type="fixed"/>
          <w:tblCellMar>
            <w:top w:w="0" w:type="dxa"/>
            <w:left w:w="108" w:type="dxa"/>
            <w:bottom w:w="0" w:type="dxa"/>
            <w:right w:w="108" w:type="dxa"/>
          </w:tblCellMar>
        </w:tblPrEx>
        <w:trPr>
          <w:trHeight w:val="2617" w:hRule="atLeast"/>
        </w:trPr>
        <w:tc>
          <w:tcPr>
            <w:tcW w:w="14864" w:type="dxa"/>
            <w:gridSpan w:val="8"/>
            <w:tcBorders>
              <w:top w:val="nil"/>
              <w:left w:val="nil"/>
              <w:bottom w:val="nil"/>
              <w:right w:val="nil"/>
            </w:tcBorders>
            <w:shd w:val="clear" w:color="auto" w:fill="auto"/>
            <w:vAlign w:val="center"/>
          </w:tcPr>
          <w:p>
            <w:pPr>
              <w:widowControl/>
              <w:jc w:val="both"/>
              <w:rPr>
                <w:rFonts w:hint="eastAsia" w:ascii="方正小标宋_GBK" w:hAnsi="宋体" w:eastAsia="方正小标宋_GBK" w:cs="宋体"/>
                <w:color w:val="000000"/>
                <w:kern w:val="0"/>
                <w:sz w:val="40"/>
                <w:szCs w:val="40"/>
                <w:lang w:val="en-US" w:eastAsia="zh-CN"/>
              </w:rPr>
            </w:pPr>
            <w:r>
              <w:rPr>
                <w:rFonts w:hint="eastAsia" w:ascii="方正小标宋_GBK" w:hAnsi="宋体" w:eastAsia="方正小标宋_GBK" w:cs="宋体"/>
                <w:color w:val="000000"/>
                <w:kern w:val="0"/>
                <w:sz w:val="40"/>
                <w:szCs w:val="40"/>
                <w:lang w:val="en-US" w:eastAsia="zh-CN"/>
              </w:rPr>
              <w:t xml:space="preserve"> </w:t>
            </w:r>
          </w:p>
          <w:p>
            <w:pPr>
              <w:pStyle w:val="6"/>
              <w:rPr>
                <w:rFonts w:hint="eastAsia"/>
                <w:lang w:val="en-US" w:eastAsia="zh-CN"/>
              </w:rPr>
            </w:pPr>
          </w:p>
          <w:p>
            <w:pPr>
              <w:widowControl/>
              <w:rPr>
                <w:rFonts w:hint="eastAsia" w:ascii="方正小标宋_GBK" w:hAnsi="方正小标宋_GBK" w:eastAsia="方正小标宋_GBK" w:cs="方正小标宋_GBK"/>
                <w:b/>
                <w:bCs/>
                <w:color w:val="000000"/>
                <w:kern w:val="0"/>
                <w:sz w:val="32"/>
                <w:szCs w:val="32"/>
                <w:lang w:val="en-US" w:eastAsia="zh-CN"/>
              </w:rPr>
            </w:pPr>
            <w:r>
              <w:rPr>
                <w:rFonts w:hint="eastAsia" w:ascii="方正小标宋_GBK" w:hAnsi="方正小标宋_GBK" w:eastAsia="方正小标宋_GBK" w:cs="方正小标宋_GBK"/>
                <w:b/>
                <w:bCs/>
                <w:color w:val="000000"/>
                <w:kern w:val="0"/>
                <w:sz w:val="32"/>
                <w:szCs w:val="32"/>
              </w:rPr>
              <w:t>附件</w:t>
            </w:r>
            <w:r>
              <w:rPr>
                <w:rFonts w:hint="eastAsia" w:ascii="方正小标宋_GBK" w:hAnsi="方正小标宋_GBK" w:eastAsia="方正小标宋_GBK" w:cs="方正小标宋_GBK"/>
                <w:b/>
                <w:bCs/>
                <w:color w:val="000000"/>
                <w:kern w:val="0"/>
                <w:sz w:val="32"/>
                <w:szCs w:val="32"/>
                <w:lang w:val="en-US" w:eastAsia="zh-CN"/>
              </w:rPr>
              <w:t>1</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临沧（市）双江</w:t>
            </w:r>
            <w:r>
              <w:rPr>
                <w:rFonts w:hint="eastAsia" w:ascii="方正小标宋_GBK" w:hAnsi="宋体" w:eastAsia="方正小标宋_GBK" w:cs="宋体"/>
                <w:color w:val="000000"/>
                <w:kern w:val="0"/>
                <w:sz w:val="40"/>
                <w:szCs w:val="40"/>
                <w:lang w:val="en-US" w:eastAsia="zh-CN"/>
              </w:rPr>
              <w:t>自治</w:t>
            </w:r>
            <w:r>
              <w:rPr>
                <w:rFonts w:hint="eastAsia" w:ascii="方正小标宋_GBK" w:hAnsi="宋体" w:eastAsia="方正小标宋_GBK" w:cs="宋体"/>
                <w:color w:val="000000"/>
                <w:kern w:val="0"/>
                <w:sz w:val="40"/>
                <w:szCs w:val="40"/>
              </w:rPr>
              <w:t>县存量住宅用地项目清单</w:t>
            </w:r>
          </w:p>
        </w:tc>
      </w:tr>
      <w:tr>
        <w:tblPrEx>
          <w:tblLayout w:type="fixed"/>
          <w:tblCellMar>
            <w:top w:w="0" w:type="dxa"/>
            <w:left w:w="108" w:type="dxa"/>
            <w:bottom w:w="0" w:type="dxa"/>
            <w:right w:w="108" w:type="dxa"/>
          </w:tblCellMar>
        </w:tblPrEx>
        <w:trPr>
          <w:trHeight w:val="334" w:hRule="atLeast"/>
        </w:trPr>
        <w:tc>
          <w:tcPr>
            <w:tcW w:w="14864" w:type="dxa"/>
            <w:gridSpan w:val="8"/>
            <w:tcBorders>
              <w:top w:val="nil"/>
              <w:left w:val="nil"/>
              <w:bottom w:val="nil"/>
              <w:right w:val="nil"/>
            </w:tcBorders>
            <w:shd w:val="clear" w:color="auto" w:fill="auto"/>
            <w:vAlign w:val="center"/>
          </w:tcPr>
          <w:p>
            <w:pPr>
              <w:widowControl/>
              <w:ind w:left="11200" w:hanging="11200" w:hangingChars="4000"/>
              <w:jc w:val="left"/>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 xml:space="preserve">填报日期：    2021年 </w:t>
            </w:r>
            <w:r>
              <w:rPr>
                <w:rFonts w:hint="eastAsia" w:ascii="方正仿宋_GBK" w:hAnsi="宋体" w:eastAsia="方正仿宋_GBK" w:cs="宋体"/>
                <w:color w:val="000000"/>
                <w:kern w:val="0"/>
                <w:sz w:val="28"/>
                <w:szCs w:val="28"/>
                <w:lang w:val="en-US" w:eastAsia="zh-CN"/>
              </w:rPr>
              <w:t>10</w:t>
            </w:r>
            <w:r>
              <w:rPr>
                <w:rFonts w:hint="eastAsia" w:ascii="方正仿宋_GBK" w:hAnsi="宋体" w:eastAsia="方正仿宋_GBK" w:cs="宋体"/>
                <w:color w:val="000000"/>
                <w:kern w:val="0"/>
                <w:sz w:val="28"/>
                <w:szCs w:val="28"/>
              </w:rPr>
              <w:t xml:space="preserve">月 </w:t>
            </w:r>
            <w:r>
              <w:rPr>
                <w:rFonts w:hint="eastAsia" w:ascii="方正仿宋_GBK" w:hAnsi="宋体" w:eastAsia="方正仿宋_GBK" w:cs="宋体"/>
                <w:color w:val="000000"/>
                <w:kern w:val="0"/>
                <w:sz w:val="28"/>
                <w:szCs w:val="28"/>
                <w:lang w:val="en-US" w:eastAsia="zh-CN"/>
              </w:rPr>
              <w:t>22</w:t>
            </w:r>
            <w:r>
              <w:rPr>
                <w:rFonts w:hint="eastAsia" w:ascii="方正仿宋_GBK" w:hAnsi="宋体" w:eastAsia="方正仿宋_GBK" w:cs="宋体"/>
                <w:color w:val="000000"/>
                <w:kern w:val="0"/>
                <w:sz w:val="28"/>
                <w:szCs w:val="28"/>
              </w:rPr>
              <w:t xml:space="preserve"> 日                                         单位：公顷                                                        </w:t>
            </w:r>
          </w:p>
        </w:tc>
      </w:tr>
      <w:tr>
        <w:tblPrEx>
          <w:tblLayout w:type="fixed"/>
          <w:tblCellMar>
            <w:top w:w="0" w:type="dxa"/>
            <w:left w:w="108" w:type="dxa"/>
            <w:bottom w:w="0" w:type="dxa"/>
            <w:right w:w="108" w:type="dxa"/>
          </w:tblCellMar>
        </w:tblPrEx>
        <w:trPr>
          <w:trHeight w:val="1126" w:hRule="atLeast"/>
        </w:trPr>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序号</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县（市、区）</w:t>
            </w:r>
          </w:p>
        </w:tc>
        <w:tc>
          <w:tcPr>
            <w:tcW w:w="2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项目名称</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位置</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住宅类型</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土地面积</w:t>
            </w:r>
          </w:p>
        </w:tc>
        <w:tc>
          <w:tcPr>
            <w:tcW w:w="1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建设状态</w:t>
            </w:r>
          </w:p>
        </w:tc>
        <w:tc>
          <w:tcPr>
            <w:tcW w:w="20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未销售房屋的土地面积</w:t>
            </w:r>
          </w:p>
        </w:tc>
      </w:tr>
      <w:tr>
        <w:tblPrEx>
          <w:tblLayout w:type="fixed"/>
          <w:tblCellMar>
            <w:top w:w="0" w:type="dxa"/>
            <w:left w:w="108" w:type="dxa"/>
            <w:bottom w:w="0" w:type="dxa"/>
            <w:right w:w="108" w:type="dxa"/>
          </w:tblCellMar>
        </w:tblPrEx>
        <w:trPr>
          <w:trHeight w:val="308"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（1）</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（2）</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（3）</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（4）</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（5）</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（6）</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（7）</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8"/>
                <w:szCs w:val="28"/>
              </w:rPr>
            </w:pPr>
            <w:r>
              <w:rPr>
                <w:rFonts w:hint="eastAsia" w:ascii="方正仿宋_GBK" w:hAnsi="宋体" w:eastAsia="方正仿宋_GBK" w:cs="宋体"/>
                <w:color w:val="000000"/>
                <w:kern w:val="0"/>
                <w:sz w:val="28"/>
                <w:szCs w:val="28"/>
              </w:rPr>
              <w:t>（8）</w:t>
            </w:r>
          </w:p>
        </w:tc>
      </w:tr>
      <w:tr>
        <w:tblPrEx>
          <w:tblLayout w:type="fixed"/>
          <w:tblCellMar>
            <w:top w:w="0" w:type="dxa"/>
            <w:left w:w="108" w:type="dxa"/>
            <w:bottom w:w="0" w:type="dxa"/>
            <w:right w:w="108" w:type="dxa"/>
          </w:tblCellMar>
        </w:tblPrEx>
        <w:trPr>
          <w:trHeight w:val="940"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1</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双江</w:t>
            </w:r>
            <w:r>
              <w:rPr>
                <w:rFonts w:hint="eastAsia" w:ascii="方正仿宋_GBK" w:hAnsi="宋体" w:eastAsia="方正仿宋_GBK" w:cs="宋体"/>
                <w:color w:val="000000"/>
                <w:kern w:val="0"/>
                <w:sz w:val="24"/>
                <w:lang w:val="en-US" w:eastAsia="zh-CN"/>
              </w:rPr>
              <w:t>自治</w:t>
            </w:r>
            <w:r>
              <w:rPr>
                <w:rFonts w:hint="eastAsia" w:ascii="方正仿宋_GBK" w:hAnsi="宋体" w:eastAsia="方正仿宋_GBK" w:cs="宋体"/>
                <w:color w:val="000000"/>
                <w:kern w:val="0"/>
                <w:sz w:val="24"/>
              </w:rPr>
              <w:t>县</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锦丽新城二期</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忙袜河片区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普通商品房</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0.3889</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未动工</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4"/>
                <w:lang w:val="en-US" w:eastAsia="zh-CN"/>
              </w:rPr>
            </w:pPr>
          </w:p>
        </w:tc>
      </w:tr>
      <w:tr>
        <w:tblPrEx>
          <w:tblLayout w:type="fixed"/>
          <w:tblCellMar>
            <w:top w:w="0" w:type="dxa"/>
            <w:left w:w="108" w:type="dxa"/>
            <w:bottom w:w="0" w:type="dxa"/>
            <w:right w:w="108" w:type="dxa"/>
          </w:tblCellMar>
        </w:tblPrEx>
        <w:trPr>
          <w:trHeight w:val="636"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2</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双江</w:t>
            </w:r>
            <w:r>
              <w:rPr>
                <w:rFonts w:hint="eastAsia" w:ascii="方正仿宋_GBK" w:hAnsi="宋体" w:eastAsia="方正仿宋_GBK" w:cs="宋体"/>
                <w:color w:val="000000"/>
                <w:kern w:val="0"/>
                <w:sz w:val="24"/>
                <w:lang w:val="en-US" w:eastAsia="zh-CN"/>
              </w:rPr>
              <w:t>自治</w:t>
            </w:r>
            <w:r>
              <w:rPr>
                <w:rFonts w:hint="eastAsia" w:ascii="方正仿宋_GBK" w:hAnsi="宋体" w:eastAsia="方正仿宋_GBK" w:cs="宋体"/>
                <w:color w:val="000000"/>
                <w:kern w:val="0"/>
                <w:sz w:val="24"/>
              </w:rPr>
              <w:t>县</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昆明建投房地产开发有限公司开发项目</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老政府片区</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普通商品房</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4"/>
                <w:lang w:val="en-US" w:eastAsia="zh-CN"/>
              </w:rPr>
            </w:pPr>
            <w:r>
              <w:rPr>
                <w:rFonts w:hint="eastAsia" w:ascii="方正仿宋_GBK" w:hAnsi="宋体" w:eastAsia="方正仿宋_GBK" w:cs="宋体"/>
                <w:color w:val="000000"/>
                <w:kern w:val="0"/>
                <w:sz w:val="24"/>
                <w:lang w:val="en-US" w:eastAsia="zh-CN"/>
              </w:rPr>
              <w:t>2.5549</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未动工</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Layout w:type="fixed"/>
          <w:tblCellMar>
            <w:top w:w="0" w:type="dxa"/>
            <w:left w:w="108" w:type="dxa"/>
            <w:bottom w:w="0" w:type="dxa"/>
            <w:right w:w="108" w:type="dxa"/>
          </w:tblCellMar>
        </w:tblPrEx>
        <w:trPr>
          <w:trHeight w:val="393"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3</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bookmarkStart w:id="0" w:name="_GoBack"/>
            <w:bookmarkEnd w:id="0"/>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4"/>
                <w:lang w:val="en-US" w:eastAsia="zh-CN"/>
              </w:rPr>
            </w:pPr>
          </w:p>
        </w:tc>
      </w:tr>
      <w:tr>
        <w:tblPrEx>
          <w:tblLayout w:type="fixed"/>
          <w:tblCellMar>
            <w:top w:w="0" w:type="dxa"/>
            <w:left w:w="108" w:type="dxa"/>
            <w:bottom w:w="0" w:type="dxa"/>
            <w:right w:w="108" w:type="dxa"/>
          </w:tblCellMar>
        </w:tblPrEx>
        <w:trPr>
          <w:trHeight w:val="174"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4</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hint="default" w:ascii="方正仿宋_GBK" w:hAnsi="宋体" w:eastAsia="方正仿宋_GBK" w:cs="宋体"/>
                <w:color w:val="000000"/>
                <w:kern w:val="0"/>
                <w:sz w:val="24"/>
                <w:lang w:val="en-US" w:eastAsia="zh-CN"/>
              </w:rPr>
            </w:pPr>
          </w:p>
        </w:tc>
      </w:tr>
      <w:tr>
        <w:tblPrEx>
          <w:tblLayout w:type="fixed"/>
          <w:tblCellMar>
            <w:top w:w="0" w:type="dxa"/>
            <w:left w:w="108" w:type="dxa"/>
            <w:bottom w:w="0" w:type="dxa"/>
            <w:right w:w="108" w:type="dxa"/>
          </w:tblCellMar>
        </w:tblPrEx>
        <w:trPr>
          <w:trHeight w:val="269" w:hRule="atLeast"/>
        </w:trPr>
        <w:tc>
          <w:tcPr>
            <w:tcW w:w="97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32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1439"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c>
          <w:tcPr>
            <w:tcW w:w="2048"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　</w:t>
            </w:r>
          </w:p>
        </w:tc>
      </w:tr>
      <w:tr>
        <w:tblPrEx>
          <w:tblLayout w:type="fixed"/>
          <w:tblCellMar>
            <w:top w:w="0" w:type="dxa"/>
            <w:left w:w="108" w:type="dxa"/>
            <w:bottom w:w="0" w:type="dxa"/>
            <w:right w:w="108" w:type="dxa"/>
          </w:tblCellMar>
        </w:tblPrEx>
        <w:trPr>
          <w:trHeight w:val="1298" w:hRule="atLeast"/>
        </w:trPr>
        <w:tc>
          <w:tcPr>
            <w:tcW w:w="14864" w:type="dxa"/>
            <w:gridSpan w:val="8"/>
            <w:tcBorders>
              <w:top w:val="nil"/>
              <w:left w:val="nil"/>
              <w:bottom w:val="nil"/>
              <w:right w:val="nil"/>
            </w:tcBorders>
            <w:shd w:val="clear" w:color="auto" w:fill="auto"/>
          </w:tcPr>
          <w:p>
            <w:pPr>
              <w:widowControl/>
              <w:jc w:val="lef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填报说明：</w:t>
            </w:r>
            <w:r>
              <w:rPr>
                <w:rFonts w:hint="eastAsia" w:ascii="方正仿宋_GBK" w:hAnsi="宋体" w:eastAsia="方正仿宋_GBK" w:cs="宋体"/>
                <w:color w:val="000000"/>
                <w:kern w:val="0"/>
                <w:sz w:val="24"/>
              </w:rPr>
              <w:br w:type="page"/>
            </w:r>
            <w:r>
              <w:rPr>
                <w:rFonts w:hint="eastAsia" w:ascii="方正仿宋_GBK" w:hAnsi="宋体" w:eastAsia="方正仿宋_GBK" w:cs="宋体"/>
                <w:color w:val="000000"/>
                <w:kern w:val="0"/>
                <w:sz w:val="24"/>
              </w:rPr>
              <w:t>1.关于（5）住宅类型：应选择填写“普通商品房”“租赁型商品房”“共有产权房”“公租房”。</w:t>
            </w:r>
            <w:r>
              <w:rPr>
                <w:rFonts w:hint="eastAsia" w:ascii="方正仿宋_GBK" w:hAnsi="宋体" w:eastAsia="方正仿宋_GBK" w:cs="宋体"/>
                <w:color w:val="000000"/>
                <w:kern w:val="0"/>
                <w:sz w:val="24"/>
              </w:rPr>
              <w:br w:type="page"/>
            </w:r>
            <w:r>
              <w:rPr>
                <w:rFonts w:hint="eastAsia" w:ascii="方正仿宋_GBK" w:hAnsi="宋体" w:eastAsia="方正仿宋_GBK" w:cs="宋体"/>
                <w:color w:val="000000"/>
                <w:kern w:val="0"/>
                <w:sz w:val="24"/>
              </w:rPr>
              <w:t>2.关于（7）建设状态：应选择填写“未动工”“已动工未竣工”。</w:t>
            </w:r>
            <w:r>
              <w:rPr>
                <w:rFonts w:hint="eastAsia" w:ascii="方正仿宋_GBK" w:hAnsi="宋体" w:eastAsia="方正仿宋_GBK" w:cs="宋体"/>
                <w:color w:val="000000"/>
                <w:kern w:val="0"/>
                <w:sz w:val="24"/>
              </w:rPr>
              <w:br w:type="page"/>
            </w:r>
            <w:r>
              <w:rPr>
                <w:rFonts w:hint="eastAsia" w:ascii="方正仿宋_GBK" w:hAnsi="宋体" w:eastAsia="方正仿宋_GBK" w:cs="宋体"/>
                <w:color w:val="000000"/>
                <w:kern w:val="0"/>
                <w:sz w:val="24"/>
              </w:rPr>
              <w:t>3.关于（8）未销售房屋的土地面积：此项只针对“已动工未竣工”的项目，“未动工”项目不需填写。核算方式为：设该地块总面积为S，其出让合同中约定的容积率为R，已核发销售许可的建筑面积为A，则未纳入房屋销售的土地面积=S-A/R。其中A的具体数值应根据相关部门依法核发的证载面积确定。</w:t>
            </w:r>
            <w:r>
              <w:rPr>
                <w:rFonts w:hint="eastAsia" w:ascii="方正仿宋_GBK" w:hAnsi="宋体" w:eastAsia="方正仿宋_GBK" w:cs="宋体"/>
                <w:color w:val="000000"/>
                <w:kern w:val="0"/>
                <w:sz w:val="24"/>
              </w:rPr>
              <w:br w:type="page"/>
            </w:r>
            <w:r>
              <w:rPr>
                <w:rFonts w:hint="eastAsia" w:ascii="方正仿宋_GBK" w:hAnsi="宋体" w:eastAsia="方正仿宋_GBK" w:cs="宋体"/>
                <w:color w:val="000000"/>
                <w:kern w:val="0"/>
                <w:sz w:val="24"/>
              </w:rPr>
              <w:t>4.各表项数量关系：（6）≥（8）。</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355C7"/>
    <w:rsid w:val="777355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图表目录1"/>
    <w:basedOn w:val="7"/>
    <w:next w:val="7"/>
    <w:qFormat/>
    <w:uiPriority w:val="0"/>
    <w:pPr>
      <w:ind w:left="200" w:leftChars="200" w:hanging="200" w:hangingChars="200"/>
    </w:p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2021-10-28T08:11:00Z</dcterms:created>
  <dc:creator>Administrator</dc:creator>
  <cp:lastModifiedBy>Administrator</cp:lastModifiedBy>
  <dcterms:modified xsi:type="dcterms:W3CDTF">2021-10-28T08:13:39Z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