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99"/>
        </w:tabs>
        <w:spacing w:line="1600" w:lineRule="exact"/>
        <w:jc w:val="center"/>
        <w:textAlignment w:val="bottom"/>
        <w:rPr>
          <w:rFonts w:hint="default" w:ascii="Times New Roman" w:hAnsi="Times New Roman" w:eastAsia="方正小标宋简体" w:cs="Times New Roman"/>
          <w:b/>
          <w:color w:val="FF0000"/>
          <w:w w:val="50"/>
          <w:sz w:val="116"/>
          <w:szCs w:val="116"/>
        </w:rPr>
      </w:pPr>
    </w:p>
    <w:p>
      <w:pPr>
        <w:tabs>
          <w:tab w:val="left" w:pos="2999"/>
        </w:tabs>
        <w:spacing w:line="1600" w:lineRule="exact"/>
        <w:jc w:val="center"/>
        <w:textAlignment w:val="bottom"/>
        <w:rPr>
          <w:rFonts w:hint="default" w:ascii="Times New Roman" w:hAnsi="Times New Roman" w:eastAsia="仿宋_GB2312" w:cs="Times New Roman"/>
          <w:w w:val="50"/>
          <w:sz w:val="116"/>
          <w:szCs w:val="116"/>
        </w:rPr>
      </w:pPr>
      <w:r>
        <w:rPr>
          <w:rFonts w:hint="default" w:ascii="Times New Roman" w:hAnsi="Times New Roman" w:eastAsia="方正小标宋简体" w:cs="Times New Roman"/>
          <w:b/>
          <w:color w:val="FF0000"/>
          <w:w w:val="50"/>
          <w:sz w:val="116"/>
          <w:szCs w:val="116"/>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24130</wp:posOffset>
                </wp:positionV>
                <wp:extent cx="877570" cy="792480"/>
                <wp:effectExtent l="0" t="0" r="0" b="0"/>
                <wp:wrapNone/>
                <wp:docPr id="7" name="文本框 2"/>
                <wp:cNvGraphicFramePr/>
                <a:graphic xmlns:a="http://schemas.openxmlformats.org/drawingml/2006/main">
                  <a:graphicData uri="http://schemas.microsoft.com/office/word/2010/wordprocessingShape">
                    <wps:wsp>
                      <wps:cNvSpPr txBox="1"/>
                      <wps:spPr>
                        <a:xfrm>
                          <a:off x="0" y="0"/>
                          <a:ext cx="877570" cy="792480"/>
                        </a:xfrm>
                        <a:prstGeom prst="rect">
                          <a:avLst/>
                        </a:prstGeom>
                        <a:noFill/>
                        <a:ln w="9525">
                          <a:noFill/>
                          <a:miter/>
                        </a:ln>
                        <a:effectLst/>
                      </wps:spPr>
                      <wps:txbx>
                        <w:txbxContent>
                          <w:p>
                            <w:pPr>
                              <w:spacing w:line="540" w:lineRule="exact"/>
                              <w:rPr>
                                <w:rFonts w:hint="eastAsia" w:ascii="方正小标宋简体" w:hAnsi="方正小标宋简体" w:eastAsia="方正小标宋简体" w:cs="方正小标宋简体"/>
                                <w:color w:val="FF0000"/>
                                <w:w w:val="60"/>
                                <w:sz w:val="44"/>
                                <w:szCs w:val="44"/>
                              </w:rPr>
                            </w:pPr>
                            <w:r>
                              <w:rPr>
                                <w:rFonts w:hint="eastAsia" w:ascii="方正小标宋简体" w:hAnsi="方正小标宋简体" w:eastAsia="方正小标宋简体" w:cs="方正小标宋简体"/>
                                <w:color w:val="FF0000"/>
                                <w:w w:val="60"/>
                                <w:sz w:val="44"/>
                                <w:szCs w:val="44"/>
                              </w:rPr>
                              <w:t>拉祜族佤族</w:t>
                            </w:r>
                          </w:p>
                          <w:p>
                            <w:pPr>
                              <w:spacing w:line="540" w:lineRule="exact"/>
                              <w:rPr>
                                <w:rFonts w:hint="default" w:ascii="方正小标宋_GBK" w:eastAsia="方正小标宋_GBK"/>
                                <w:color w:val="FF6600"/>
                                <w:w w:val="60"/>
                                <w:sz w:val="44"/>
                                <w:szCs w:val="44"/>
                                <w:lang w:val="en-US" w:eastAsia="zh-CN"/>
                              </w:rPr>
                            </w:pPr>
                            <w:r>
                              <w:rPr>
                                <w:rFonts w:hint="eastAsia" w:ascii="方正小标宋简体" w:hAnsi="方正小标宋简体" w:eastAsia="方正小标宋简体" w:cs="方正小标宋简体"/>
                                <w:color w:val="FF0000"/>
                                <w:w w:val="60"/>
                                <w:sz w:val="44"/>
                                <w:szCs w:val="44"/>
                              </w:rPr>
                              <w:t>布朗族傣族</w:t>
                            </w:r>
                            <w:r>
                              <w:rPr>
                                <w:rFonts w:hint="eastAsia" w:ascii="方正小标宋_GBK" w:eastAsia="方正小标宋_GBK"/>
                                <w:color w:val="FF0000"/>
                                <w:w w:val="60"/>
                                <w:sz w:val="44"/>
                                <w:szCs w:val="44"/>
                                <w:lang w:val="en-US" w:eastAsia="zh-CN"/>
                              </w:rPr>
                              <w:t xml:space="preserve">  </w:t>
                            </w:r>
                          </w:p>
                        </w:txbxContent>
                      </wps:txbx>
                      <wps:bodyPr lIns="0" tIns="0" rIns="0" bIns="0" upright="1"/>
                    </wps:wsp>
                  </a:graphicData>
                </a:graphic>
              </wp:anchor>
            </w:drawing>
          </mc:Choice>
          <mc:Fallback>
            <w:pict>
              <v:shape id="文本框 2" o:spid="_x0000_s1026" o:spt="202" type="#_x0000_t202" style="position:absolute;left:0pt;margin-left:73.8pt;margin-top:1.9pt;height:62.4pt;width:69.1pt;z-index:251660288;mso-width-relative:page;mso-height-relative:page;" filled="f" stroked="f" coordsize="21600,21600" o:gfxdata="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F/AJLX&#10;AAAACQEAAA8AAAAAAAAAAQAgAAAAIgAAAGRycy9kb3ducmV2LnhtbFBLAQIUABQAAAAIAIdO4kBO&#10;9jANrwEAAEQDAAAOAAAAAAAAAAEAIAAAACYBAABkcnMvZTJvRG9jLnhtbFBLBQYAAAAABgAGAFkB&#10;AABHBQAAAAA=&#10;">
                <v:fill on="f" focussize="0,0"/>
                <v:stroke on="f" joinstyle="miter"/>
                <v:imagedata o:title=""/>
                <o:lock v:ext="edit" aspectratio="f"/>
                <v:textbox inset="0mm,0mm,0mm,0mm">
                  <w:txbxContent>
                    <w:p>
                      <w:pPr>
                        <w:spacing w:line="540" w:lineRule="exact"/>
                        <w:rPr>
                          <w:rFonts w:hint="eastAsia" w:ascii="方正小标宋简体" w:hAnsi="方正小标宋简体" w:eastAsia="方正小标宋简体" w:cs="方正小标宋简体"/>
                          <w:color w:val="FF0000"/>
                          <w:w w:val="60"/>
                          <w:sz w:val="44"/>
                          <w:szCs w:val="44"/>
                        </w:rPr>
                      </w:pPr>
                      <w:r>
                        <w:rPr>
                          <w:rFonts w:hint="eastAsia" w:ascii="方正小标宋简体" w:hAnsi="方正小标宋简体" w:eastAsia="方正小标宋简体" w:cs="方正小标宋简体"/>
                          <w:color w:val="FF0000"/>
                          <w:w w:val="60"/>
                          <w:sz w:val="44"/>
                          <w:szCs w:val="44"/>
                        </w:rPr>
                        <w:t>拉祜族佤族</w:t>
                      </w:r>
                    </w:p>
                    <w:p>
                      <w:pPr>
                        <w:spacing w:line="540" w:lineRule="exact"/>
                        <w:rPr>
                          <w:rFonts w:hint="default" w:ascii="方正小标宋_GBK" w:eastAsia="方正小标宋_GBK"/>
                          <w:color w:val="FF6600"/>
                          <w:w w:val="60"/>
                          <w:sz w:val="44"/>
                          <w:szCs w:val="44"/>
                          <w:lang w:val="en-US" w:eastAsia="zh-CN"/>
                        </w:rPr>
                      </w:pPr>
                      <w:r>
                        <w:rPr>
                          <w:rFonts w:hint="eastAsia" w:ascii="方正小标宋简体" w:hAnsi="方正小标宋简体" w:eastAsia="方正小标宋简体" w:cs="方正小标宋简体"/>
                          <w:color w:val="FF0000"/>
                          <w:w w:val="60"/>
                          <w:sz w:val="44"/>
                          <w:szCs w:val="44"/>
                        </w:rPr>
                        <w:t>布朗族傣族</w:t>
                      </w:r>
                      <w:r>
                        <w:rPr>
                          <w:rFonts w:hint="eastAsia" w:ascii="方正小标宋_GBK" w:eastAsia="方正小标宋_GBK"/>
                          <w:color w:val="FF0000"/>
                          <w:w w:val="60"/>
                          <w:sz w:val="44"/>
                          <w:szCs w:val="44"/>
                          <w:lang w:val="en-US" w:eastAsia="zh-CN"/>
                        </w:rPr>
                        <w:t xml:space="preserve">  </w:t>
                      </w:r>
                    </w:p>
                  </w:txbxContent>
                </v:textbox>
              </v:shape>
            </w:pict>
          </mc:Fallback>
        </mc:AlternateContent>
      </w:r>
      <w:r>
        <w:rPr>
          <w:rFonts w:hint="default" w:ascii="Times New Roman" w:hAnsi="Times New Roman" w:eastAsia="方正小标宋简体" w:cs="Times New Roman"/>
          <w:b/>
          <w:color w:val="FF0000"/>
          <w:w w:val="50"/>
          <w:sz w:val="116"/>
          <w:szCs w:val="116"/>
        </w:rPr>
        <w:t xml:space="preserve">双江  </w:t>
      </w:r>
      <w:r>
        <w:rPr>
          <w:rFonts w:hint="default" w:ascii="Times New Roman" w:hAnsi="Times New Roman" w:eastAsia="方正小标宋简体" w:cs="Times New Roman"/>
          <w:b/>
          <w:color w:val="FF0000"/>
          <w:w w:val="50"/>
          <w:sz w:val="116"/>
          <w:szCs w:val="116"/>
          <w:lang w:val="en-US" w:eastAsia="zh-CN"/>
        </w:rPr>
        <w:t xml:space="preserve">   </w:t>
      </w:r>
      <w:r>
        <w:rPr>
          <w:rFonts w:hint="default" w:ascii="Times New Roman" w:hAnsi="Times New Roman" w:eastAsia="方正小标宋简体" w:cs="Times New Roman"/>
          <w:b/>
          <w:color w:val="FF0000"/>
          <w:w w:val="50"/>
          <w:sz w:val="116"/>
          <w:szCs w:val="116"/>
        </w:rPr>
        <w:t>自治县卫生</w:t>
      </w:r>
      <w:r>
        <w:rPr>
          <w:rFonts w:hint="default" w:ascii="Times New Roman" w:hAnsi="Times New Roman" w:eastAsia="方正小标宋简体" w:cs="Times New Roman"/>
          <w:b/>
          <w:color w:val="FF0000"/>
          <w:w w:val="50"/>
          <w:sz w:val="116"/>
          <w:szCs w:val="116"/>
          <w:lang w:eastAsia="zh-CN"/>
        </w:rPr>
        <w:t>健康</w:t>
      </w:r>
      <w:r>
        <w:rPr>
          <w:rFonts w:hint="default" w:ascii="Times New Roman" w:hAnsi="Times New Roman" w:eastAsia="方正小标宋简体" w:cs="Times New Roman"/>
          <w:b/>
          <w:color w:val="FF0000"/>
          <w:w w:val="50"/>
          <w:sz w:val="116"/>
          <w:szCs w:val="116"/>
        </w:rPr>
        <w:t>局文件</w:t>
      </w:r>
    </w:p>
    <w:p>
      <w:pPr>
        <w:pStyle w:val="8"/>
        <w:spacing w:line="1400" w:lineRule="exact"/>
        <w:ind w:left="0" w:leftChars="0" w:firstLine="0" w:firstLineChars="0"/>
        <w:jc w:val="center"/>
        <w:textAlignment w:val="bottom"/>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854710</wp:posOffset>
                </wp:positionV>
                <wp:extent cx="5600700" cy="0"/>
                <wp:effectExtent l="0" t="12700" r="0" b="15875"/>
                <wp:wrapNone/>
                <wp:docPr id="8" name="直线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67.3pt;height:0pt;width:441pt;z-index:251659264;mso-width-relative:page;mso-height-relative:page;" filled="f" stroked="t" coordsize="21600,21600" o:gfxdata="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Mdo0NYAAAAKAQAADwAAAAAAAAABACAAAAAi&#10;AAAAZHJzL2Rvd25yZXYueG1sUEsBAhQAFAAAAAgAh07iQB9W54rTAQAAnAMAAA4AAAAAAAAAAQAg&#10;AAAAJQEAAGRycy9lMm9Eb2MueG1sUEsFBgAAAAAGAAYAWQEAAGo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rPr>
        <w:t>双卫</w:t>
      </w:r>
      <w:r>
        <w:rPr>
          <w:rFonts w:hint="default" w:ascii="Times New Roman" w:hAnsi="Times New Roman" w:eastAsia="仿宋_GB2312" w:cs="Times New Roman"/>
          <w:lang w:eastAsia="zh-CN"/>
        </w:rPr>
        <w:t>健</w:t>
      </w:r>
      <w:r>
        <w:rPr>
          <w:rFonts w:hint="eastAsia" w:eastAsia="仿宋_GB2312" w:cs="Times New Roman"/>
          <w:lang w:eastAsia="zh-CN"/>
        </w:rPr>
        <w:t>函</w:t>
      </w:r>
      <w:r>
        <w:rPr>
          <w:rFonts w:hint="default" w:ascii="Times New Roman" w:hAnsi="Times New Roman" w:eastAsia="仿宋_GB2312" w:cs="Times New Roman"/>
        </w:rPr>
        <w:t>〔</w:t>
      </w:r>
      <w:r>
        <w:rPr>
          <w:rFonts w:hint="eastAsia" w:eastAsia="仿宋_GB2312" w:cs="Times New Roman"/>
          <w:lang w:val="en-US" w:eastAsia="zh-CN"/>
        </w:rPr>
        <w:t>2020</w:t>
      </w:r>
      <w:r>
        <w:rPr>
          <w:rFonts w:hint="default" w:ascii="Times New Roman" w:hAnsi="Times New Roman" w:eastAsia="仿宋_GB2312" w:cs="Times New Roman"/>
        </w:rPr>
        <w:t>〕</w:t>
      </w:r>
      <w:r>
        <w:rPr>
          <w:rFonts w:hint="eastAsia" w:eastAsia="仿宋_GB2312" w:cs="Times New Roman"/>
          <w:lang w:val="en-US" w:eastAsia="zh-CN"/>
        </w:rPr>
        <w:t>37</w:t>
      </w:r>
      <w:r>
        <w:rPr>
          <w:rFonts w:hint="default" w:ascii="Times New Roman" w:hAnsi="Times New Roman" w:eastAsia="仿宋_GB2312" w:cs="Times New Roma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双江自治县卫生健康局对政协双江自治县</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委员会十二届四次会议第3</w:t>
      </w:r>
      <w:r>
        <w:rPr>
          <w:rFonts w:hint="default"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lang w:eastAsia="zh-C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提案答复的函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center"/>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县政协提案委：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提出的</w:t>
      </w:r>
      <w:r>
        <w:rPr>
          <w:rFonts w:hint="default" w:ascii="Times New Roman" w:hAnsi="Times New Roman" w:eastAsia="仿宋_GB2312" w:cs="Times New Roman"/>
          <w:sz w:val="32"/>
          <w:szCs w:val="32"/>
          <w:lang w:eastAsia="zh-CN"/>
        </w:rPr>
        <w:t>“关于加强家庭医生签约服务的提案”</w:t>
      </w:r>
      <w:r>
        <w:rPr>
          <w:rFonts w:hint="default" w:ascii="Times New Roman" w:hAnsi="Times New Roman" w:eastAsia="仿宋_GB2312" w:cs="Times New Roman"/>
          <w:b w:val="0"/>
          <w:bCs w:val="0"/>
          <w:sz w:val="32"/>
          <w:szCs w:val="32"/>
          <w:lang w:eastAsia="zh-CN"/>
        </w:rPr>
        <w:t>收悉。经县卫生健康局研究，现将办理情况和结果答复如下：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一、医生队伍基层薄弱，全科医生总数量不足，特别是基层卫生室工作人数不够</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经济待遇难以保障，后续跟踪服务少，难以服务到位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2" w:firstLineChars="206"/>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val="0"/>
          <w:kern w:val="2"/>
          <w:sz w:val="32"/>
          <w:szCs w:val="32"/>
          <w:lang w:val="en-US" w:eastAsia="zh-CN" w:bidi="ar"/>
        </w:rPr>
        <w:t>一是</w:t>
      </w:r>
      <w:r>
        <w:rPr>
          <w:rFonts w:hint="default" w:ascii="Times New Roman" w:hAnsi="Times New Roman" w:eastAsia="仿宋_GB2312" w:cs="Times New Roman"/>
          <w:sz w:val="32"/>
          <w:szCs w:val="32"/>
          <w:lang w:val="en-US" w:eastAsia="zh-CN"/>
        </w:rPr>
        <w:t>我县于2017年6月</w:t>
      </w:r>
      <w:r>
        <w:rPr>
          <w:rFonts w:hint="eastAsia" w:ascii="Times New Roman" w:hAnsi="Times New Roman" w:eastAsia="仿宋_GB2312" w:cs="Times New Roman"/>
          <w:sz w:val="32"/>
          <w:szCs w:val="32"/>
          <w:lang w:val="en-US" w:eastAsia="zh-CN"/>
        </w:rPr>
        <w:t>启动开展</w:t>
      </w:r>
      <w:r>
        <w:rPr>
          <w:rFonts w:hint="default" w:ascii="Times New Roman" w:hAnsi="Times New Roman" w:eastAsia="仿宋_GB2312" w:cs="Times New Roman"/>
          <w:sz w:val="32"/>
          <w:szCs w:val="32"/>
          <w:lang w:val="en-US" w:eastAsia="zh-CN"/>
        </w:rPr>
        <w:t>家庭医生签约服务工作</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按照“到</w:t>
      </w:r>
      <w:r>
        <w:rPr>
          <w:rFonts w:hint="default" w:ascii="Times New Roman" w:hAnsi="Times New Roman" w:eastAsia="仿宋_GB2312" w:cs="Times New Roman"/>
          <w:sz w:val="32"/>
          <w:szCs w:val="32"/>
          <w:lang w:val="en-US" w:eastAsia="zh-CN"/>
        </w:rPr>
        <w:t>2017年末，家庭医生签约服务覆盖率达35%以上，重点人群签约服务覆盖率达到60%以上</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到2020年，</w:t>
      </w:r>
      <w:r>
        <w:rPr>
          <w:rFonts w:hint="default" w:ascii="Times New Roman" w:hAnsi="Times New Roman" w:eastAsia="仿宋_GB2312" w:cs="Times New Roman"/>
          <w:sz w:val="32"/>
          <w:szCs w:val="32"/>
          <w:lang w:eastAsia="zh-CN"/>
        </w:rPr>
        <w:t>力争将签约服务扩大到全体人群，形成长期稳定的契约服务关系，基本实现家庭医生签约服务制度全覆盖</w:t>
      </w:r>
      <w:r>
        <w:rPr>
          <w:rFonts w:hint="eastAsia" w:eastAsia="仿宋_GB2312" w:cs="Times New Roman"/>
          <w:sz w:val="32"/>
          <w:szCs w:val="32"/>
          <w:lang w:eastAsia="zh-CN"/>
        </w:rPr>
        <w:t>”的既定目标，扎实开展家庭医生签约服务，</w:t>
      </w:r>
      <w:r>
        <w:rPr>
          <w:rFonts w:hint="default" w:ascii="Times New Roman" w:hAnsi="Times New Roman" w:eastAsia="仿宋_GB2312" w:cs="Times New Roman"/>
          <w:sz w:val="32"/>
          <w:szCs w:val="32"/>
          <w:lang w:val="en-US" w:eastAsia="zh-CN"/>
        </w:rPr>
        <w:t>2017年底</w:t>
      </w:r>
      <w:r>
        <w:rPr>
          <w:rFonts w:hint="eastAsia" w:eastAsia="仿宋_GB2312" w:cs="Times New Roman"/>
          <w:sz w:val="32"/>
          <w:szCs w:val="32"/>
          <w:lang w:val="en-US" w:eastAsia="zh-CN"/>
        </w:rPr>
        <w:t>，全人群家庭医生</w:t>
      </w:r>
      <w:r>
        <w:rPr>
          <w:rFonts w:hint="default" w:ascii="Times New Roman" w:hAnsi="Times New Roman" w:eastAsia="仿宋_GB2312" w:cs="Times New Roman"/>
          <w:sz w:val="32"/>
          <w:szCs w:val="32"/>
          <w:lang w:val="en-US" w:eastAsia="zh-CN"/>
        </w:rPr>
        <w:t>签约率为42.78%，建档立卡贫困人口签约率为100%。</w:t>
      </w:r>
      <w:r>
        <w:rPr>
          <w:rFonts w:hint="eastAsia" w:eastAsia="仿宋_GB2312" w:cs="Times New Roman"/>
          <w:sz w:val="32"/>
          <w:szCs w:val="32"/>
          <w:lang w:val="en-US" w:eastAsia="zh-CN"/>
        </w:rPr>
        <w:t>针对家庭医生签约服务不到位现象，</w:t>
      </w:r>
      <w:r>
        <w:rPr>
          <w:rFonts w:hint="default" w:ascii="Times New Roman" w:hAnsi="Times New Roman" w:eastAsia="仿宋_GB2312" w:cs="Times New Roman"/>
          <w:sz w:val="32"/>
          <w:szCs w:val="32"/>
          <w:lang w:val="en-US" w:eastAsia="zh-CN"/>
        </w:rPr>
        <w:t>自2019年起，</w:t>
      </w:r>
      <w:r>
        <w:rPr>
          <w:rFonts w:hint="eastAsia" w:eastAsia="仿宋_GB2312" w:cs="Times New Roman"/>
          <w:sz w:val="32"/>
          <w:szCs w:val="32"/>
          <w:lang w:val="en-US" w:eastAsia="zh-CN"/>
        </w:rPr>
        <w:t>我们将</w:t>
      </w:r>
      <w:r>
        <w:rPr>
          <w:rFonts w:hint="default" w:ascii="Times New Roman" w:hAnsi="Times New Roman" w:eastAsia="仿宋_GB2312" w:cs="Times New Roman"/>
          <w:sz w:val="32"/>
          <w:szCs w:val="32"/>
          <w:lang w:val="en-US" w:eastAsia="zh-CN"/>
        </w:rPr>
        <w:t>提质增效</w:t>
      </w:r>
      <w:r>
        <w:rPr>
          <w:rFonts w:hint="eastAsia" w:eastAsia="仿宋_GB2312" w:cs="Times New Roman"/>
          <w:sz w:val="32"/>
          <w:szCs w:val="32"/>
          <w:lang w:val="en-US" w:eastAsia="zh-CN"/>
        </w:rPr>
        <w:t>作为重点</w:t>
      </w:r>
      <w:r>
        <w:rPr>
          <w:rFonts w:hint="default" w:ascii="Times New Roman" w:hAnsi="Times New Roman" w:eastAsia="仿宋_GB2312" w:cs="Times New Roman"/>
          <w:sz w:val="32"/>
          <w:szCs w:val="32"/>
          <w:lang w:val="en-US" w:eastAsia="zh-CN"/>
        </w:rPr>
        <w:t>，对家庭医生签约服务不作数量要求</w:t>
      </w:r>
      <w:r>
        <w:rPr>
          <w:rFonts w:hint="eastAsia"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切实做到“签约一人、履约一人”</w:t>
      </w:r>
      <w:r>
        <w:rPr>
          <w:rFonts w:hint="eastAsia" w:eastAsia="仿宋_GB2312" w:cs="Times New Roman"/>
          <w:sz w:val="32"/>
          <w:szCs w:val="32"/>
          <w:lang w:val="en-US" w:eastAsia="zh-CN"/>
        </w:rPr>
        <w:t>。2020年，</w:t>
      </w:r>
      <w:r>
        <w:rPr>
          <w:rFonts w:hint="default" w:ascii="Times New Roman" w:hAnsi="Times New Roman" w:eastAsia="仿宋_GB2312" w:cs="Times New Roman"/>
          <w:sz w:val="32"/>
          <w:szCs w:val="32"/>
          <w:lang w:val="en-US" w:eastAsia="zh-CN"/>
        </w:rPr>
        <w:t>全省推广“年末集中签约、次年服务”的模式，现阶段，家庭医生签约服务以建档立卡贫困人口、持证残疾人、计划生育特殊家庭、孕产妇、0-6岁儿童、老年人等重点人群，以及高血压、2型糖尿病、肺结核病、严重精神障碍等重点疾病患者为重点，特别是重点人群以及农村低保（五保）户等应努力做到“应签尽签”，截</w:t>
      </w:r>
      <w:r>
        <w:rPr>
          <w:rFonts w:hint="eastAsia"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2020年8月底，全县共签约70664人，及时履约率为77.56%，建档立卡</w:t>
      </w:r>
      <w:r>
        <w:rPr>
          <w:rFonts w:hint="eastAsia" w:eastAsia="仿宋_GB2312" w:cs="Times New Roman"/>
          <w:sz w:val="32"/>
          <w:szCs w:val="32"/>
          <w:lang w:val="en-US" w:eastAsia="zh-CN"/>
        </w:rPr>
        <w:t>贫困人口</w:t>
      </w:r>
      <w:r>
        <w:rPr>
          <w:rFonts w:hint="default" w:ascii="Times New Roman" w:hAnsi="Times New Roman" w:eastAsia="仿宋_GB2312" w:cs="Times New Roman"/>
          <w:sz w:val="32"/>
          <w:szCs w:val="32"/>
          <w:lang w:val="en-US" w:eastAsia="zh-CN"/>
        </w:rPr>
        <w:t>签约27506人，及时履约率达98.73%。</w:t>
      </w:r>
      <w:r>
        <w:rPr>
          <w:rFonts w:hint="default" w:ascii="Times New Roman" w:hAnsi="Times New Roman" w:eastAsia="仿宋_GB2312" w:cs="Times New Roman"/>
          <w:b/>
          <w:bCs/>
          <w:sz w:val="32"/>
          <w:szCs w:val="32"/>
          <w:lang w:val="en-US" w:eastAsia="zh-CN"/>
        </w:rPr>
        <w:t>二是</w:t>
      </w:r>
      <w:r>
        <w:rPr>
          <w:rFonts w:hint="eastAsia" w:eastAsia="仿宋_GB2312" w:cs="Times New Roman"/>
          <w:b w:val="0"/>
          <w:bCs w:val="0"/>
          <w:sz w:val="32"/>
          <w:szCs w:val="32"/>
          <w:lang w:val="en-US" w:eastAsia="zh-CN"/>
        </w:rPr>
        <w:t>加强家庭医生团队建设，提高服务能力。</w:t>
      </w:r>
      <w:r>
        <w:rPr>
          <w:rFonts w:hint="default" w:ascii="Times New Roman" w:hAnsi="Times New Roman" w:eastAsia="仿宋_GB2312" w:cs="Times New Roman"/>
          <w:b w:val="0"/>
          <w:bCs w:val="0"/>
          <w:sz w:val="32"/>
          <w:szCs w:val="32"/>
          <w:lang w:val="en-US" w:eastAsia="zh-CN"/>
        </w:rPr>
        <w:t>原则上确保每个村配备至少1个家庭医生签约服务团队，团队</w:t>
      </w:r>
      <w:r>
        <w:rPr>
          <w:rFonts w:hint="default" w:ascii="Times New Roman" w:hAnsi="Times New Roman" w:eastAsia="仿宋_GB2312" w:cs="Times New Roman"/>
          <w:b w:val="0"/>
          <w:bCs/>
          <w:color w:val="auto"/>
          <w:sz w:val="32"/>
          <w:szCs w:val="32"/>
        </w:rPr>
        <w:t>优先遴选业务能力强、服务态度好、有一定群众基础的全科医生、公卫医师、护士、乡村医生等卫生技术人员组成</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每个团队签约服务人数控制在1000人以内。抽调县级医院医师融入家庭医生签约服务团队，提供指导和技术服务。通过优化团队建设，不断提高服务能力，促进家庭医生签约服务提质增效。</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全面推动落实各乡镇签约服务费扣除成本后主要用于基层医疗卫生人员绩效分配等规定，充分调动基层医务人员积极性，逐步提升家庭医生签约服务管理的质量和广大群众的认可度。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二、宣传氛围不够，部分签约群众表现出不理解、不信任、不接受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val="0"/>
          <w:sz w:val="32"/>
          <w:szCs w:val="32"/>
          <w:lang w:val="en-US" w:eastAsia="zh-CN"/>
        </w:rPr>
        <w:t>我局充分利用各种信息传播媒介加大对签约服务工作的宣传推广，针对当前居民对家庭医生签约服务概念的误解，重点宣传基本概念、基本服务内容等，各机构耐心解答群众疑惑，使居民对家庭医生签约服务回归到合理预期。各</w:t>
      </w:r>
      <w:r>
        <w:rPr>
          <w:rFonts w:hint="eastAsia" w:eastAsia="仿宋_GB2312" w:cs="Times New Roman"/>
          <w:b w:val="0"/>
          <w:bCs w:val="0"/>
          <w:sz w:val="32"/>
          <w:szCs w:val="32"/>
          <w:lang w:val="en-US" w:eastAsia="zh-CN"/>
        </w:rPr>
        <w:t>医疗卫生</w:t>
      </w:r>
      <w:r>
        <w:rPr>
          <w:rFonts w:hint="default" w:ascii="Times New Roman" w:hAnsi="Times New Roman" w:eastAsia="仿宋_GB2312" w:cs="Times New Roman"/>
          <w:b w:val="0"/>
          <w:bCs w:val="0"/>
          <w:sz w:val="32"/>
          <w:szCs w:val="32"/>
          <w:lang w:val="en-US" w:eastAsia="zh-CN"/>
        </w:rPr>
        <w:t>机构充分利用5月19日“世界家庭医生日”，集中举办主题宣传活动，营造全社会尊重、信任、支持家庭医生签约服务的良好氛围。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县政协提案委</w:t>
      </w:r>
      <w:r>
        <w:rPr>
          <w:rFonts w:hint="default" w:ascii="Times New Roman" w:hAnsi="Times New Roman" w:eastAsia="仿宋_GB2312" w:cs="Times New Roman"/>
          <w:sz w:val="32"/>
          <w:szCs w:val="32"/>
          <w:lang w:val="en-US" w:eastAsia="zh-CN"/>
        </w:rPr>
        <w:t>，非常感谢您对我县卫生健康事业的关心、关注与支持，希望今后继续得到您的关注和支持，对我们的工作提出更多宝贵意见和建议，共同为我县卫健康事业发展建言献策。</w:t>
      </w:r>
    </w:p>
    <w:p>
      <w:pPr>
        <w:pStyle w:val="3"/>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仿宋_GB2312"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仿宋_GB2312"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双江自治县卫生健康局</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2020年</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月</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办理结果分类：</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类　　　　　具体承办人：</w:t>
      </w:r>
      <w:r>
        <w:rPr>
          <w:rFonts w:hint="eastAsia" w:ascii="Times New Roman" w:hAnsi="Times New Roman" w:eastAsia="仿宋_GB2312" w:cs="Times New Roman"/>
          <w:b w:val="0"/>
          <w:bCs w:val="0"/>
          <w:sz w:val="32"/>
          <w:szCs w:val="32"/>
          <w:lang w:eastAsia="zh-CN"/>
        </w:rPr>
        <w:t>杨绍燚</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 xml:space="preserve">　　　　　　　　　　　　　　    </w:t>
      </w:r>
      <w:bookmarkStart w:id="0" w:name="_GoBack"/>
      <w:bookmarkEnd w:id="0"/>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keepNext w:val="0"/>
        <w:keepLines w:val="0"/>
        <w:pageBreakBefore w:val="0"/>
        <w:widowControl/>
        <w:pBdr>
          <w:top w:val="single" w:color="auto" w:sz="4" w:space="1"/>
          <w:left w:val="none" w:color="auto" w:sz="0" w:space="4"/>
          <w:bottom w:val="none" w:color="auto" w:sz="0" w:space="1"/>
          <w:right w:val="none" w:color="auto" w:sz="0" w:space="4"/>
          <w:between w:val="none" w:color="auto" w:sz="0" w:space="0"/>
        </w:pBdr>
        <w:tabs>
          <w:tab w:val="left" w:pos="8100"/>
        </w:tabs>
        <w:kinsoku/>
        <w:wordWrap/>
        <w:overflowPunct/>
        <w:topLinePunct w:val="0"/>
        <w:autoSpaceDE/>
        <w:autoSpaceDN/>
        <w:bidi w:val="0"/>
        <w:adjustRightInd w:val="0"/>
        <w:snapToGrid w:val="0"/>
        <w:spacing w:after="0" w:line="590" w:lineRule="exact"/>
        <w:ind w:left="0" w:leftChars="0" w:right="0" w:rightChars="0" w:firstLine="274" w:firstLineChars="98"/>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抄送：县政府办公室，县</w:t>
      </w:r>
      <w:r>
        <w:rPr>
          <w:rFonts w:hint="eastAsia" w:ascii="Times New Roman" w:hAnsi="Times New Roman" w:eastAsia="仿宋_GB2312" w:cs="Times New Roman"/>
          <w:b w:val="0"/>
          <w:bCs w:val="0"/>
          <w:sz w:val="28"/>
          <w:szCs w:val="28"/>
          <w:lang w:eastAsia="zh-CN"/>
        </w:rPr>
        <w:t>政协提案</w:t>
      </w:r>
      <w:r>
        <w:rPr>
          <w:rFonts w:hint="default" w:ascii="Times New Roman" w:hAnsi="Times New Roman" w:eastAsia="仿宋_GB2312" w:cs="Times New Roman"/>
          <w:b w:val="0"/>
          <w:bCs w:val="0"/>
          <w:sz w:val="28"/>
          <w:szCs w:val="28"/>
        </w:rPr>
        <w:t>委员会。</w:t>
      </w:r>
    </w:p>
    <w:p>
      <w:pPr>
        <w:keepNext w:val="0"/>
        <w:keepLines w:val="0"/>
        <w:pageBreakBefore w:val="0"/>
        <w:widowControl/>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val="0"/>
        <w:snapToGrid w:val="0"/>
        <w:spacing w:after="0" w:line="590" w:lineRule="exact"/>
        <w:ind w:left="0" w:leftChars="0" w:right="0" w:rightChars="0" w:firstLine="274" w:firstLineChars="98"/>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28"/>
          <w:szCs w:val="28"/>
          <w:lang w:eastAsia="zh-CN"/>
        </w:rPr>
        <w:t>双江自治县卫生健康局办公室</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w:t>
      </w:r>
      <w:r>
        <w:rPr>
          <w:rFonts w:hint="default" w:ascii="Times New Roman" w:hAnsi="Times New Roman"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9月</w:t>
      </w:r>
      <w:r>
        <w:rPr>
          <w:rFonts w:hint="eastAsia"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 xml:space="preserve">日印发  </w:t>
      </w:r>
    </w:p>
    <w:sectPr>
      <w:footerReference r:id="rId3" w:type="default"/>
      <w:pgSz w:w="11906" w:h="16838"/>
      <w:pgMar w:top="2211" w:right="1531" w:bottom="1871"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30F94"/>
    <w:rsid w:val="00B10002"/>
    <w:rsid w:val="04E67923"/>
    <w:rsid w:val="07AA6D2D"/>
    <w:rsid w:val="0B0D10D6"/>
    <w:rsid w:val="0F396237"/>
    <w:rsid w:val="12D85902"/>
    <w:rsid w:val="145E1C71"/>
    <w:rsid w:val="17C714B6"/>
    <w:rsid w:val="1E730F94"/>
    <w:rsid w:val="1F667D5F"/>
    <w:rsid w:val="21375022"/>
    <w:rsid w:val="25621240"/>
    <w:rsid w:val="278E5156"/>
    <w:rsid w:val="2E4B37D3"/>
    <w:rsid w:val="30D06B29"/>
    <w:rsid w:val="34F0244A"/>
    <w:rsid w:val="3A8C2487"/>
    <w:rsid w:val="3CF8166B"/>
    <w:rsid w:val="4378023F"/>
    <w:rsid w:val="437D70D2"/>
    <w:rsid w:val="45BF04A9"/>
    <w:rsid w:val="4DB8458C"/>
    <w:rsid w:val="4F244D30"/>
    <w:rsid w:val="4FC84112"/>
    <w:rsid w:val="52570514"/>
    <w:rsid w:val="5ABE47FD"/>
    <w:rsid w:val="5CD25302"/>
    <w:rsid w:val="5DCC4469"/>
    <w:rsid w:val="67F428E8"/>
    <w:rsid w:val="6ACF704A"/>
    <w:rsid w:val="6EC24826"/>
    <w:rsid w:val="7841091B"/>
    <w:rsid w:val="7D9D6A7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345" w:lineRule="auto"/>
      <w:ind w:left="1" w:firstLine="419"/>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2020-08-18T00:42:00Z</dcterms:created>
  <dc:creator>丢下～</dc:creator>
  <cp:lastModifiedBy>陈鹏</cp:lastModifiedBy>
  <cp:lastPrinted>2020-09-07T02:33:00Z</cp:lastPrinted>
  <dcterms:modified xsi:type="dcterms:W3CDTF">2023-01-30T07:04:58Z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