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忙糯乡农村公路建设</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b/>
          <w:bCs/>
          <w:sz w:val="44"/>
          <w:szCs w:val="44"/>
          <w:lang w:val="en-US" w:eastAsia="zh-CN"/>
        </w:rPr>
        <w:t>及生命安全防护工程项目</w:t>
      </w:r>
    </w:p>
    <w:p>
      <w:pPr>
        <w:pStyle w:val="2"/>
        <w:ind w:left="0" w:leftChars="0" w:firstLine="0" w:firstLineChars="0"/>
        <w:rPr>
          <w:rFonts w:hint="eastAsia"/>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实</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施</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方</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案</w:t>
      </w:r>
    </w:p>
    <w:p>
      <w:pPr>
        <w:jc w:val="both"/>
        <w:rPr>
          <w:rFonts w:hint="eastAsia" w:ascii="仿宋_GB2312" w:hAnsi="仿宋_GB2312" w:eastAsia="仿宋_GB2312" w:cs="仿宋_GB2312"/>
          <w:sz w:val="28"/>
          <w:szCs w:val="28"/>
          <w:lang w:val="en-US" w:eastAsia="zh-CN"/>
        </w:rPr>
      </w:pPr>
    </w:p>
    <w:p>
      <w:pPr>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双江自治县交通运输局</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2023年5月</w:t>
      </w:r>
    </w:p>
    <w:p>
      <w:pPr>
        <w:ind w:firstLine="2711" w:firstLineChars="900"/>
        <w:jc w:val="both"/>
        <w:rPr>
          <w:rFonts w:hint="eastAsia" w:ascii="仿宋_GB2312" w:hAnsi="仿宋_GB2312" w:eastAsia="仿宋_GB2312" w:cs="仿宋_GB2312"/>
          <w:b/>
          <w:bCs/>
          <w:sz w:val="30"/>
          <w:szCs w:val="30"/>
          <w:lang w:val="en-US" w:eastAsia="zh-CN"/>
        </w:rPr>
        <w:sectPr>
          <w:footerReference r:id="rId3" w:type="default"/>
          <w:pgSz w:w="11906" w:h="16838"/>
          <w:pgMar w:top="1984" w:right="1474" w:bottom="1757" w:left="1474"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bCs/>
          <w:sz w:val="32"/>
          <w:szCs w:val="32"/>
          <w:lang w:val="en-US" w:eastAsia="zh-CN"/>
        </w:rPr>
        <w:t>项目名称：</w:t>
      </w:r>
      <w:r>
        <w:rPr>
          <w:rFonts w:hint="eastAsia" w:ascii="仿宋_GB2312" w:hAnsi="仿宋_GB2312" w:eastAsia="仿宋_GB2312" w:cs="仿宋_GB2312"/>
          <w:b w:val="0"/>
          <w:bCs w:val="0"/>
          <w:sz w:val="32"/>
          <w:szCs w:val="32"/>
          <w:lang w:val="en-US" w:eastAsia="zh-CN"/>
        </w:rPr>
        <w:t>忙糯乡农村公路建设及生命安全防护工程项目</w:t>
      </w:r>
    </w:p>
    <w:p>
      <w:pPr>
        <w:widowControl w:val="0"/>
        <w:spacing w:line="1000" w:lineRule="exact"/>
        <w:textAlignment w:val="auto"/>
        <w:rPr>
          <w:rFonts w:ascii="黑体" w:hAnsi="黑体" w:eastAsia="黑体" w:cs="黑体"/>
          <w:sz w:val="32"/>
          <w:szCs w:val="32"/>
        </w:rPr>
      </w:pPr>
      <w:r>
        <w:rPr>
          <w:rFonts w:hint="eastAsia" w:ascii="黑体" w:hAnsi="黑体" w:eastAsia="黑体" w:cs="黑体"/>
          <w:b/>
          <w:bCs/>
          <w:sz w:val="32"/>
          <w:szCs w:val="32"/>
          <w:lang w:val="en-US" w:eastAsia="zh-CN"/>
        </w:rPr>
        <w:t>项目主管单位：</w:t>
      </w:r>
      <w:r>
        <w:rPr>
          <w:rFonts w:hint="eastAsia" w:ascii="仿宋_GB2312" w:hAnsi="仿宋_GB2312" w:eastAsia="仿宋_GB2312" w:cs="仿宋_GB2312"/>
          <w:b w:val="0"/>
          <w:bCs w:val="0"/>
          <w:sz w:val="32"/>
          <w:szCs w:val="32"/>
          <w:lang w:val="en-US" w:eastAsia="zh-CN"/>
        </w:rPr>
        <w:t>双江自治县交通运输局</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项目实施单位：</w:t>
      </w:r>
      <w:r>
        <w:rPr>
          <w:rFonts w:hint="eastAsia" w:ascii="仿宋_GB2312" w:hAnsi="仿宋_GB2312" w:eastAsia="仿宋_GB2312" w:cs="仿宋_GB2312"/>
          <w:b w:val="0"/>
          <w:bCs w:val="0"/>
          <w:sz w:val="32"/>
          <w:szCs w:val="32"/>
          <w:lang w:val="en-US" w:eastAsia="zh-CN"/>
        </w:rPr>
        <w:t>双江自治县交通运输局</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负 责 人：</w:t>
      </w:r>
      <w:r>
        <w:rPr>
          <w:rFonts w:hint="eastAsia" w:ascii="仿宋_GB2312" w:hAnsi="仿宋_GB2312" w:eastAsia="仿宋_GB2312" w:cs="仿宋_GB2312"/>
          <w:b w:val="0"/>
          <w:bCs w:val="0"/>
          <w:sz w:val="32"/>
          <w:szCs w:val="32"/>
          <w:lang w:val="en-US" w:eastAsia="zh-CN"/>
        </w:rPr>
        <w:t>李玉洁</w:t>
      </w:r>
    </w:p>
    <w:p>
      <w:pPr>
        <w:widowControl w:val="0"/>
        <w:spacing w:line="1000"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联系电话：</w:t>
      </w:r>
      <w:r>
        <w:rPr>
          <w:rFonts w:hint="eastAsia" w:ascii="仿宋_GB2312" w:hAnsi="仿宋_GB2312" w:eastAsia="仿宋_GB2312" w:cs="仿宋_GB2312"/>
          <w:b w:val="0"/>
          <w:bCs w:val="0"/>
          <w:sz w:val="32"/>
          <w:szCs w:val="32"/>
          <w:lang w:val="en-US" w:eastAsia="zh-CN"/>
        </w:rPr>
        <w:t>0883-7621001</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通信地址：</w:t>
      </w:r>
      <w:r>
        <w:rPr>
          <w:rFonts w:hint="eastAsia" w:ascii="仿宋_GB2312" w:hAnsi="仿宋_GB2312" w:eastAsia="仿宋_GB2312" w:cs="仿宋_GB2312"/>
          <w:b w:val="0"/>
          <w:bCs w:val="0"/>
          <w:sz w:val="32"/>
          <w:szCs w:val="32"/>
          <w:lang w:val="en-US" w:eastAsia="zh-CN"/>
        </w:rPr>
        <w:t>双江县北回归大道34号</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lang w:val="en-US" w:eastAsia="zh-CN"/>
        </w:rPr>
      </w:pPr>
      <w:r>
        <w:rPr>
          <w:rFonts w:hint="eastAsia" w:ascii="黑体" w:hAnsi="黑体" w:eastAsia="黑体" w:cs="黑体"/>
          <w:b/>
          <w:bCs/>
          <w:sz w:val="32"/>
          <w:szCs w:val="32"/>
          <w:lang w:val="en-US" w:eastAsia="zh-CN"/>
        </w:rPr>
        <w:t>编制日期：</w:t>
      </w:r>
      <w:r>
        <w:rPr>
          <w:rFonts w:hint="eastAsia" w:ascii="仿宋_GB2312" w:hAnsi="仿宋_GB2312" w:eastAsia="仿宋_GB2312" w:cs="仿宋_GB2312"/>
          <w:b w:val="0"/>
          <w:bCs w:val="0"/>
          <w:sz w:val="32"/>
          <w:szCs w:val="32"/>
          <w:lang w:val="en-US" w:eastAsia="zh-CN"/>
        </w:rPr>
        <w:t>2023年5月4日</w:t>
      </w:r>
    </w:p>
    <w:p>
      <w:pPr>
        <w:rPr>
          <w:rFonts w:hint="default"/>
          <w:lang w:val="en-US" w:eastAsia="zh-CN"/>
        </w:rPr>
      </w:pPr>
    </w:p>
    <w:p>
      <w:pPr>
        <w:pStyle w:val="2"/>
        <w:rPr>
          <w:rFonts w:hint="default"/>
          <w:lang w:val="en-US" w:eastAsia="zh-CN"/>
        </w:rPr>
      </w:pPr>
    </w:p>
    <w:p>
      <w:pPr>
        <w:pStyle w:val="2"/>
        <w:rPr>
          <w:rFonts w:hint="default"/>
          <w:lang w:val="en-US" w:eastAsia="zh-CN"/>
        </w:rPr>
        <w:sectPr>
          <w:footerReference r:id="rId4" w:type="default"/>
          <w:pgSz w:w="11906" w:h="16838"/>
          <w:pgMar w:top="1984" w:right="1474" w:bottom="1757" w:left="1474" w:header="851" w:footer="992" w:gutter="0"/>
          <w:pgNumType w:fmt="decimal" w:start="1"/>
          <w:cols w:space="720" w:num="1"/>
          <w:docGrid w:type="lines" w:linePitch="312" w:charSpace="0"/>
        </w:sectPr>
      </w:pPr>
    </w:p>
    <w:p>
      <w:pPr>
        <w:keepNext w:val="0"/>
        <w:keepLines w:val="0"/>
        <w:widowControl/>
        <w:suppressLineNumbers w:val="0"/>
        <w:jc w:val="center"/>
        <w:rPr>
          <w:rFonts w:hint="eastAsia" w:ascii="黑体" w:hAnsi="黑体" w:eastAsia="黑体" w:cs="黑体"/>
          <w:b/>
          <w:bCs/>
          <w:color w:val="000000"/>
          <w:kern w:val="0"/>
          <w:sz w:val="44"/>
          <w:szCs w:val="44"/>
          <w:lang w:val="en-US" w:eastAsia="zh-CN" w:bidi="ar"/>
        </w:rPr>
      </w:pPr>
      <w:r>
        <w:rPr>
          <w:rFonts w:hint="eastAsia" w:ascii="黑体" w:hAnsi="黑体" w:eastAsia="黑体" w:cs="黑体"/>
          <w:b/>
          <w:bCs/>
          <w:color w:val="000000"/>
          <w:kern w:val="0"/>
          <w:sz w:val="44"/>
          <w:szCs w:val="44"/>
          <w:lang w:val="en-US" w:eastAsia="zh-CN" w:bidi="ar"/>
        </w:rPr>
        <w:t>目  录</w:t>
      </w:r>
    </w:p>
    <w:p>
      <w:pPr>
        <w:pStyle w:val="2"/>
        <w:rPr>
          <w:rFonts w:hint="default"/>
          <w:lang w:val="en-US" w:eastAsia="zh-CN"/>
        </w:rPr>
      </w:pP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基本情况</w:t>
      </w:r>
      <w:r>
        <w:rPr>
          <w:rFonts w:hint="eastAsia" w:ascii="黑体" w:hAnsi="黑体" w:eastAsia="黑体" w:cs="黑体"/>
          <w:b w:val="0"/>
          <w:bCs w:val="0"/>
          <w:sz w:val="28"/>
          <w:szCs w:val="28"/>
          <w:lang w:val="en-US" w:eastAsia="zh-CN"/>
        </w:rPr>
        <w:t>...............................................1</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总体要求</w:t>
      </w:r>
      <w:r>
        <w:rPr>
          <w:rFonts w:hint="eastAsia" w:ascii="黑体" w:hAnsi="黑体" w:eastAsia="黑体" w:cs="黑体"/>
          <w:sz w:val="28"/>
          <w:szCs w:val="28"/>
          <w:lang w:val="en-US" w:eastAsia="zh-CN"/>
        </w:rPr>
        <w:t>.................................</w:t>
      </w:r>
      <w:r>
        <w:rPr>
          <w:rFonts w:hint="eastAsia" w:ascii="黑体" w:hAnsi="黑体" w:eastAsia="黑体" w:cs="黑体"/>
          <w:b w:val="0"/>
          <w:bCs w:val="0"/>
          <w:sz w:val="28"/>
          <w:szCs w:val="28"/>
          <w:lang w:val="en-US" w:eastAsia="zh-CN"/>
        </w:rPr>
        <w:t>...........</w:t>
      </w:r>
      <w:r>
        <w:rPr>
          <w:rFonts w:hint="eastAsia" w:ascii="黑体" w:hAnsi="黑体" w:eastAsia="黑体" w:cs="黑体"/>
          <w:sz w:val="28"/>
          <w:szCs w:val="28"/>
          <w:lang w:val="en-US" w:eastAsia="zh-CN"/>
        </w:rPr>
        <w:t>...2</w:t>
      </w: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rPr>
        <w:t>项目实施单位</w:t>
      </w:r>
      <w:r>
        <w:rPr>
          <w:rFonts w:hint="eastAsia" w:ascii="黑体" w:hAnsi="黑体" w:eastAsia="黑体" w:cs="黑体"/>
          <w:b w:val="0"/>
          <w:bCs w:val="0"/>
          <w:sz w:val="28"/>
          <w:szCs w:val="28"/>
          <w:lang w:val="en-US" w:eastAsia="zh-CN"/>
        </w:rPr>
        <w:t>...........................................2</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项目建设内容</w:t>
      </w:r>
      <w:r>
        <w:rPr>
          <w:rFonts w:hint="eastAsia" w:ascii="黑体" w:hAnsi="黑体" w:eastAsia="黑体" w:cs="黑体"/>
          <w:sz w:val="28"/>
          <w:szCs w:val="28"/>
          <w:lang w:val="en-US" w:eastAsia="zh-CN"/>
        </w:rPr>
        <w:t>...........................</w:t>
      </w:r>
      <w:r>
        <w:rPr>
          <w:rFonts w:hint="eastAsia" w:ascii="黑体" w:hAnsi="黑体" w:eastAsia="黑体" w:cs="黑体"/>
          <w:b w:val="0"/>
          <w:bCs w:val="0"/>
          <w:sz w:val="28"/>
          <w:szCs w:val="28"/>
          <w:lang w:val="en-US" w:eastAsia="zh-CN"/>
        </w:rPr>
        <w:t>...........</w:t>
      </w:r>
      <w:r>
        <w:rPr>
          <w:rFonts w:hint="eastAsia" w:ascii="黑体" w:hAnsi="黑体" w:eastAsia="黑体" w:cs="黑体"/>
          <w:sz w:val="28"/>
          <w:szCs w:val="28"/>
          <w:lang w:val="en-US" w:eastAsia="zh-CN"/>
        </w:rPr>
        <w:t>.....2</w:t>
      </w: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五、</w:t>
      </w:r>
      <w:r>
        <w:rPr>
          <w:rFonts w:hint="eastAsia" w:ascii="黑体" w:hAnsi="黑体" w:eastAsia="黑体" w:cs="黑体"/>
          <w:b w:val="0"/>
          <w:bCs w:val="0"/>
          <w:sz w:val="28"/>
          <w:szCs w:val="28"/>
        </w:rPr>
        <w:t>项目投资概算</w:t>
      </w:r>
      <w:r>
        <w:rPr>
          <w:rFonts w:hint="eastAsia" w:ascii="黑体" w:hAnsi="黑体" w:eastAsia="黑体" w:cs="黑体"/>
          <w:b w:val="0"/>
          <w:bCs w:val="0"/>
          <w:sz w:val="28"/>
          <w:szCs w:val="28"/>
          <w:lang w:val="en-US" w:eastAsia="zh-CN"/>
        </w:rPr>
        <w:t>...........................................</w:t>
      </w:r>
      <w:r>
        <w:rPr>
          <w:rFonts w:hint="eastAsia" w:ascii="黑体" w:hAnsi="黑体" w:cs="黑体"/>
          <w:b w:val="0"/>
          <w:bCs w:val="0"/>
          <w:sz w:val="28"/>
          <w:szCs w:val="28"/>
          <w:lang w:val="en-US" w:eastAsia="zh-CN"/>
        </w:rPr>
        <w:t>3</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资金管理及拨付方式</w:t>
      </w:r>
      <w:r>
        <w:rPr>
          <w:rFonts w:hint="eastAsia" w:ascii="黑体" w:hAnsi="黑体" w:eastAsia="黑体" w:cs="黑体"/>
          <w:sz w:val="28"/>
          <w:szCs w:val="28"/>
          <w:lang w:val="en-US" w:eastAsia="zh-CN"/>
        </w:rPr>
        <w:t>......................</w:t>
      </w:r>
      <w:r>
        <w:rPr>
          <w:rFonts w:hint="eastAsia" w:ascii="黑体" w:hAnsi="黑体" w:eastAsia="黑体" w:cs="黑体"/>
          <w:b w:val="0"/>
          <w:bCs w:val="0"/>
          <w:sz w:val="28"/>
          <w:szCs w:val="28"/>
          <w:lang w:val="en-US" w:eastAsia="zh-CN"/>
        </w:rPr>
        <w:t>...........</w:t>
      </w:r>
      <w:r>
        <w:rPr>
          <w:rFonts w:hint="eastAsia" w:ascii="黑体" w:hAnsi="黑体" w:eastAsia="黑体" w:cs="黑体"/>
          <w:sz w:val="28"/>
          <w:szCs w:val="28"/>
          <w:lang w:val="en-US" w:eastAsia="zh-CN"/>
        </w:rPr>
        <w:t>....3</w:t>
      </w: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七、</w:t>
      </w:r>
      <w:r>
        <w:rPr>
          <w:rFonts w:hint="eastAsia" w:ascii="黑体" w:hAnsi="黑体" w:eastAsia="黑体" w:cs="黑体"/>
          <w:b w:val="0"/>
          <w:bCs w:val="0"/>
          <w:sz w:val="28"/>
          <w:szCs w:val="28"/>
        </w:rPr>
        <w:t>时间进度安排</w:t>
      </w:r>
      <w:r>
        <w:rPr>
          <w:rFonts w:hint="eastAsia" w:ascii="黑体" w:hAnsi="黑体" w:eastAsia="黑体" w:cs="黑体"/>
          <w:b w:val="0"/>
          <w:bCs w:val="0"/>
          <w:sz w:val="28"/>
          <w:szCs w:val="28"/>
          <w:lang w:val="en-US" w:eastAsia="zh-CN"/>
        </w:rPr>
        <w:t>...........................................</w:t>
      </w:r>
      <w:r>
        <w:rPr>
          <w:rFonts w:hint="eastAsia" w:ascii="黑体" w:hAnsi="黑体" w:cs="黑体"/>
          <w:b w:val="0"/>
          <w:bCs w:val="0"/>
          <w:sz w:val="28"/>
          <w:szCs w:val="28"/>
          <w:lang w:val="en-US" w:eastAsia="zh-CN"/>
        </w:rPr>
        <w:t>4</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八、</w:t>
      </w:r>
      <w:r>
        <w:rPr>
          <w:rFonts w:hint="eastAsia" w:ascii="黑体" w:hAnsi="黑体" w:eastAsia="黑体" w:cs="黑体"/>
          <w:sz w:val="28"/>
          <w:szCs w:val="28"/>
        </w:rPr>
        <w:t>项目验收办法</w:t>
      </w:r>
      <w:r>
        <w:rPr>
          <w:rFonts w:hint="eastAsia" w:ascii="黑体" w:hAnsi="黑体" w:eastAsia="黑体" w:cs="黑体"/>
          <w:sz w:val="28"/>
          <w:szCs w:val="28"/>
          <w:lang w:val="en-US" w:eastAsia="zh-CN"/>
        </w:rPr>
        <w:t>...........................</w:t>
      </w:r>
      <w:r>
        <w:rPr>
          <w:rFonts w:hint="eastAsia" w:ascii="黑体" w:hAnsi="黑体" w:eastAsia="黑体" w:cs="黑体"/>
          <w:b w:val="0"/>
          <w:bCs w:val="0"/>
          <w:sz w:val="28"/>
          <w:szCs w:val="28"/>
          <w:lang w:val="en-US" w:eastAsia="zh-CN"/>
        </w:rPr>
        <w:t>...........</w:t>
      </w:r>
      <w:r>
        <w:rPr>
          <w:rFonts w:hint="eastAsia" w:ascii="黑体" w:hAnsi="黑体" w:eastAsia="黑体" w:cs="黑体"/>
          <w:sz w:val="28"/>
          <w:szCs w:val="28"/>
          <w:lang w:val="en-US" w:eastAsia="zh-CN"/>
        </w:rPr>
        <w:t>.....4</w:t>
      </w:r>
    </w:p>
    <w:p>
      <w:pPr>
        <w:pStyle w:val="2"/>
        <w:pageBreakBefore w:val="0"/>
        <w:widowControl w:val="0"/>
        <w:numPr>
          <w:ilvl w:val="0"/>
          <w:numId w:val="0"/>
        </w:numPr>
        <w:kinsoku/>
        <w:wordWrap/>
        <w:overflowPunct/>
        <w:topLinePunct w:val="0"/>
        <w:autoSpaceDE/>
        <w:autoSpaceDN/>
        <w:bidi w:val="0"/>
        <w:adjustRightInd/>
        <w:snapToGrid/>
        <w:spacing w:line="500" w:lineRule="exact"/>
        <w:ind w:left="630" w:hanging="63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九、</w:t>
      </w:r>
      <w:r>
        <w:rPr>
          <w:rFonts w:hint="eastAsia" w:ascii="黑体" w:hAnsi="黑体" w:eastAsia="黑体" w:cs="黑体"/>
          <w:b w:val="0"/>
          <w:bCs w:val="0"/>
          <w:sz w:val="28"/>
          <w:szCs w:val="28"/>
        </w:rPr>
        <w:t>项目效益分析</w:t>
      </w:r>
      <w:r>
        <w:rPr>
          <w:rFonts w:hint="eastAsia" w:ascii="黑体" w:hAnsi="黑体" w:eastAsia="黑体" w:cs="黑体"/>
          <w:b w:val="0"/>
          <w:bCs w:val="0"/>
          <w:sz w:val="28"/>
          <w:szCs w:val="28"/>
          <w:lang w:val="en-US" w:eastAsia="zh-CN"/>
        </w:rPr>
        <w:t>...........................................4</w:t>
      </w:r>
    </w:p>
    <w:p>
      <w:pPr>
        <w:pStyle w:val="7"/>
        <w:pageBreakBefore w:val="0"/>
        <w:widowControl w:val="0"/>
        <w:numPr>
          <w:ilvl w:val="0"/>
          <w:numId w:val="0"/>
        </w:numPr>
        <w:kinsoku/>
        <w:wordWrap/>
        <w:overflowPunct/>
        <w:topLinePunct w:val="0"/>
        <w:autoSpaceDE/>
        <w:autoSpaceDN/>
        <w:bidi w:val="0"/>
        <w:adjustRightInd/>
        <w:snapToGrid/>
        <w:spacing w:line="500" w:lineRule="exact"/>
        <w:ind w:left="630" w:hanging="630" w:firstLineChars="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十、</w:t>
      </w:r>
      <w:r>
        <w:rPr>
          <w:rFonts w:hint="eastAsia" w:ascii="黑体" w:hAnsi="黑体" w:eastAsia="黑体" w:cs="黑体"/>
          <w:sz w:val="28"/>
          <w:szCs w:val="28"/>
        </w:rPr>
        <w:t>绩效考核</w:t>
      </w:r>
      <w:r>
        <w:rPr>
          <w:rFonts w:hint="eastAsia" w:ascii="黑体" w:hAnsi="黑体" w:eastAsia="黑体" w:cs="黑体"/>
          <w:sz w:val="28"/>
          <w:szCs w:val="28"/>
          <w:lang w:val="en-US" w:eastAsia="zh-CN"/>
        </w:rPr>
        <w:t>...............................</w:t>
      </w:r>
      <w:r>
        <w:rPr>
          <w:rFonts w:hint="eastAsia" w:ascii="黑体" w:hAnsi="黑体" w:eastAsia="黑体" w:cs="黑体"/>
          <w:b w:val="0"/>
          <w:bCs w:val="0"/>
          <w:sz w:val="28"/>
          <w:szCs w:val="28"/>
          <w:lang w:val="en-US" w:eastAsia="zh-CN"/>
        </w:rPr>
        <w:t>...........</w:t>
      </w:r>
      <w:r>
        <w:rPr>
          <w:rFonts w:hint="eastAsia" w:ascii="黑体" w:hAnsi="黑体" w:eastAsia="黑体" w:cs="黑体"/>
          <w:sz w:val="28"/>
          <w:szCs w:val="28"/>
          <w:lang w:val="en-US" w:eastAsia="zh-CN"/>
        </w:rPr>
        <w:t>.....4</w:t>
      </w:r>
    </w:p>
    <w:p>
      <w:pPr>
        <w:pageBreakBefore w:val="0"/>
        <w:widowControl w:val="0"/>
        <w:kinsoku/>
        <w:wordWrap/>
        <w:overflowPunct/>
        <w:topLinePunct w:val="0"/>
        <w:autoSpaceDE/>
        <w:autoSpaceDN/>
        <w:bidi w:val="0"/>
        <w:adjustRightInd/>
        <w:snapToGrid/>
        <w:spacing w:line="500" w:lineRule="exact"/>
        <w:textAlignment w:val="auto"/>
        <w:rPr>
          <w:rFonts w:hint="default" w:ascii="方正小标宋简体" w:hAnsi="方正小标宋简体" w:eastAsia="方正小标宋简体" w:cs="方正小标宋简体"/>
          <w:b w:val="0"/>
          <w:bCs w:val="0"/>
          <w:color w:val="000000"/>
          <w:sz w:val="32"/>
          <w:szCs w:val="32"/>
          <w:lang w:val="en-US" w:eastAsia="zh-CN"/>
        </w:rPr>
        <w:sectPr>
          <w:footerReference r:id="rId5" w:type="default"/>
          <w:pgSz w:w="11906" w:h="16838"/>
          <w:pgMar w:top="1984" w:right="1474" w:bottom="1757" w:left="1474" w:header="851" w:footer="992" w:gutter="0"/>
          <w:pgNumType w:fmt="decimal" w:start="1"/>
          <w:cols w:space="720" w:num="1"/>
          <w:docGrid w:type="lines" w:linePitch="312" w:charSpace="0"/>
        </w:sectPr>
      </w:pPr>
      <w:r>
        <w:rPr>
          <w:rFonts w:hint="eastAsia" w:ascii="黑体" w:hAnsi="黑体" w:eastAsia="黑体" w:cs="黑体"/>
          <w:sz w:val="28"/>
          <w:szCs w:val="28"/>
        </w:rPr>
        <w:t>十一、保障措施</w:t>
      </w:r>
      <w:r>
        <w:rPr>
          <w:rFonts w:hint="eastAsia" w:ascii="黑体" w:hAnsi="黑体" w:eastAsia="黑体" w:cs="黑体"/>
          <w:sz w:val="28"/>
          <w:szCs w:val="28"/>
          <w:lang w:val="en-US" w:eastAsia="zh-CN"/>
        </w:rPr>
        <w:t>.............................</w:t>
      </w:r>
      <w:r>
        <w:rPr>
          <w:rFonts w:hint="eastAsia" w:ascii="黑体" w:hAnsi="黑体" w:eastAsia="黑体" w:cs="黑体"/>
          <w:b w:val="0"/>
          <w:bCs w:val="0"/>
          <w:sz w:val="28"/>
          <w:szCs w:val="28"/>
          <w:lang w:val="en-US" w:eastAsia="zh-CN"/>
        </w:rPr>
        <w:t>...........</w:t>
      </w:r>
      <w:r>
        <w:rPr>
          <w:rFonts w:hint="eastAsia" w:ascii="黑体" w:hAnsi="黑体" w:eastAsia="黑体" w:cs="黑体"/>
          <w:sz w:val="28"/>
          <w:szCs w:val="28"/>
          <w:lang w:val="en-US" w:eastAsia="zh-CN"/>
        </w:rPr>
        <w:t>.....5</w:t>
      </w: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一、基本情况</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（一）全县交通基本情况</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公路总里程5446.027公里。其中，国道1条63.27公里，省道1条6.3公里，县道19条565.51公里，乡道69条495.404公里，村道257条994.775公里，专用道27条105.812公里，拟建道路2473条3214.956公里。列入养护里程2161.501公里。其中：县道565.51公里，乡道495.404公里，村道994.775公里，专用道105.812公里。目前，县道、乡道已全部实现硬化，村道硬化路建设正有序推进。</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（二）项目实施单位基本情况</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交通运输局是全县主要负责推进全县综合交通运输体系建设的行政单位。是要职责是：贯彻执行上级制定的综合交通运输发展战略、政策和标准；负责交通运输基础设施建设、管理、养护、市场的行业监管；指导行业安全生产和应急管理工作；指导交通运输综合执法和队伍建设工作，负责行政执法监督；完成县委、县政府交办的其他任务。</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忙糯乡农村公路建设及生命安全防护工程，属双江自治县交通基础设施建设项目。县交通运输局主要负责对该项目的总体规划、工程建设及质量监督、项目验收。</w:t>
      </w: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二、总体要求</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（一）指导思想</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2023年是巩固拓展脱贫攻坚成果</w:t>
      </w:r>
      <w:r>
        <w:rPr>
          <w:rFonts w:hint="eastAsia" w:ascii="仿宋_GB2312" w:hAnsi="仿宋_GB2312" w:eastAsia="仿宋_GB2312" w:cs="仿宋_GB2312"/>
          <w:sz w:val="32"/>
          <w:szCs w:val="32"/>
          <w:highlight w:val="none"/>
          <w:lang w:val="en-US" w:eastAsia="zh-CN"/>
        </w:rPr>
        <w:t>同</w:t>
      </w:r>
      <w:r>
        <w:rPr>
          <w:rFonts w:hint="eastAsia" w:ascii="仿宋_GB2312" w:hAnsi="仿宋_GB2312" w:eastAsia="仿宋_GB2312" w:cs="仿宋_GB2312"/>
          <w:sz w:val="32"/>
          <w:szCs w:val="32"/>
          <w:lang w:val="en-US" w:eastAsia="zh-CN"/>
        </w:rPr>
        <w:t>乡村振兴有效衔接的重要年度，交通运输局坚持以习近平新时代中国特色社会主义思想为指</w:t>
      </w:r>
      <w:bookmarkStart w:id="0" w:name="_GoBack"/>
      <w:bookmarkEnd w:id="0"/>
      <w:r>
        <w:rPr>
          <w:rFonts w:hint="eastAsia" w:ascii="仿宋_GB2312" w:hAnsi="仿宋_GB2312" w:eastAsia="仿宋_GB2312" w:cs="仿宋_GB2312"/>
          <w:sz w:val="32"/>
          <w:szCs w:val="32"/>
          <w:lang w:val="en-US" w:eastAsia="zh-CN"/>
        </w:rPr>
        <w:t>导，深入学习贯彻党的二十大精神，贯彻落实习近平总书记考察云南重要讲话精神。按照上级党委、政府工作部署，根据县委、县政府的工作安排，坚持把巩固脱贫攻坚成果任务放在突出位置，坚持稳字当头、稳</w:t>
      </w:r>
      <w:r>
        <w:rPr>
          <w:rFonts w:hint="eastAsia" w:ascii="仿宋_GB2312" w:hAnsi="仿宋_GB2312" w:eastAsia="仿宋_GB2312" w:cs="仿宋_GB2312"/>
          <w:sz w:val="32"/>
          <w:szCs w:val="32"/>
          <w:highlight w:val="none"/>
          <w:lang w:val="en-US" w:eastAsia="zh-CN"/>
        </w:rPr>
        <w:t>中求进</w:t>
      </w:r>
      <w:r>
        <w:rPr>
          <w:rFonts w:hint="eastAsia" w:ascii="仿宋_GB2312" w:hAnsi="仿宋_GB2312" w:eastAsia="仿宋_GB2312" w:cs="仿宋_GB2312"/>
          <w:sz w:val="32"/>
          <w:szCs w:val="32"/>
          <w:lang w:val="en-US" w:eastAsia="zh-CN"/>
        </w:rPr>
        <w:t>，聚焦“守底线、抓发展、促增收、提质量”，牢牢守住不发生规模性返贫底线，全面推进农村公路建设及生命安全防护工程建设，推动巩固拓展脱贫攻坚成果和乡村振兴示范区建设迈上新台阶。</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（二）基本原则</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建设及生命安全防护工程建设，坚持“规划先导、因地制宜、量力而行、分步实施”的基本原则，走可持续发展之路。合理利用土地资源，注重环境保护，结合村镇综合整治，改善农村的交通和生产生活环境。</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仿宋_GB2312" w:cs="Times New Roman"/>
          <w:b/>
          <w:bCs/>
          <w:sz w:val="32"/>
          <w:szCs w:val="32"/>
        </w:rPr>
      </w:pPr>
      <w:r>
        <w:rPr>
          <w:rFonts w:ascii="Times New Roman" w:hAnsi="Times New Roman" w:eastAsia="黑体" w:cs="Times New Roman"/>
          <w:b/>
          <w:bCs/>
          <w:sz w:val="32"/>
          <w:szCs w:val="32"/>
        </w:rPr>
        <w:t>三、项目实施单位</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双江自治县交通运输局</w:t>
      </w:r>
    </w:p>
    <w:p>
      <w:pPr>
        <w:pageBreakBefore w:val="0"/>
        <w:widowControl w:val="0"/>
        <w:kinsoku/>
        <w:wordWrap/>
        <w:overflowPunct/>
        <w:topLinePunct w:val="0"/>
        <w:bidi w:val="0"/>
        <w:snapToGrid/>
        <w:spacing w:line="560" w:lineRule="exact"/>
        <w:ind w:firstLine="630" w:firstLineChars="196"/>
        <w:jc w:val="both"/>
        <w:textAlignment w:val="auto"/>
        <w:rPr>
          <w:rFonts w:ascii="Times New Roman" w:hAnsi="Times New Roman" w:eastAsia="仿宋_GB2312" w:cs="Times New Roman"/>
          <w:b/>
          <w:bCs/>
          <w:sz w:val="32"/>
          <w:szCs w:val="32"/>
        </w:rPr>
      </w:pPr>
      <w:r>
        <w:rPr>
          <w:rFonts w:ascii="Times New Roman" w:hAnsi="Times New Roman" w:eastAsia="黑体" w:cs="Times New Roman"/>
          <w:b/>
          <w:bCs/>
          <w:sz w:val="32"/>
          <w:szCs w:val="32"/>
        </w:rPr>
        <w:t>四、</w:t>
      </w:r>
      <w:r>
        <w:rPr>
          <w:rFonts w:hint="eastAsia" w:ascii="Times New Roman" w:hAnsi="Times New Roman" w:eastAsia="黑体" w:cs="Times New Roman"/>
          <w:b/>
          <w:bCs/>
          <w:sz w:val="32"/>
          <w:szCs w:val="32"/>
        </w:rPr>
        <w:t>建设</w:t>
      </w:r>
      <w:r>
        <w:rPr>
          <w:rFonts w:ascii="Times New Roman" w:hAnsi="Times New Roman" w:eastAsia="黑体" w:cs="Times New Roman"/>
          <w:b/>
          <w:bCs/>
          <w:sz w:val="32"/>
          <w:szCs w:val="32"/>
        </w:rPr>
        <w:t>内容</w:t>
      </w:r>
    </w:p>
    <w:p>
      <w:pPr>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忙糯乡</w:t>
      </w:r>
      <w:r>
        <w:rPr>
          <w:rFonts w:hint="eastAsia" w:ascii="仿宋_GB2312" w:hAnsi="仿宋_GB2312" w:eastAsia="仿宋_GB2312" w:cs="仿宋_GB2312"/>
          <w:w w:val="100"/>
          <w:sz w:val="32"/>
          <w:szCs w:val="32"/>
          <w:highlight w:val="none"/>
          <w:lang w:val="en-US" w:eastAsia="zh-CN"/>
        </w:rPr>
        <w:t>农村公路建设及生命安全防护工程项目</w:t>
      </w:r>
      <w:r>
        <w:rPr>
          <w:rFonts w:hint="eastAsia" w:ascii="仿宋_GB2312" w:hAnsi="仿宋_GB2312" w:eastAsia="仿宋_GB2312" w:cs="仿宋_GB2312"/>
          <w:sz w:val="32"/>
          <w:szCs w:val="32"/>
          <w:lang w:val="en-US" w:eastAsia="zh-CN"/>
        </w:rPr>
        <w:t>主要是对部分受损及有安全隐患路段进行修复，主要是对塌陷路基进行修复，完善边沟、涵洞等排水工程。建设硬化路2.5公里，路面宽度为4米</w:t>
      </w:r>
      <w:r>
        <w:rPr>
          <w:rFonts w:hint="eastAsia" w:ascii="仿宋_GB2312" w:hAnsi="仿宋_GB2312" w:eastAsia="仿宋_GB2312" w:cs="仿宋_GB2312"/>
          <w:b w:val="0"/>
          <w:bCs w:val="0"/>
          <w:color w:val="000000"/>
          <w:kern w:val="0"/>
          <w:sz w:val="32"/>
          <w:szCs w:val="32"/>
          <w:lang w:val="en-US" w:eastAsia="zh-CN" w:bidi="ar"/>
        </w:rPr>
        <w:t>，计划投资175万元。</w:t>
      </w:r>
      <w:r>
        <w:rPr>
          <w:rFonts w:hint="eastAsia" w:ascii="仿宋_GB2312" w:hAnsi="仿宋_GB2312" w:eastAsia="仿宋_GB2312" w:cs="仿宋_GB2312"/>
          <w:sz w:val="32"/>
          <w:szCs w:val="32"/>
          <w:lang w:val="en-US" w:eastAsia="zh-CN"/>
        </w:rPr>
        <w:t>增设生命安全防护设施25公里</w:t>
      </w:r>
      <w:r>
        <w:rPr>
          <w:rFonts w:hint="eastAsia" w:ascii="仿宋_GB2312" w:hAnsi="仿宋_GB2312" w:eastAsia="仿宋_GB2312" w:cs="仿宋_GB2312"/>
          <w:b w:val="0"/>
          <w:bCs w:val="0"/>
          <w:color w:val="000000"/>
          <w:kern w:val="0"/>
          <w:sz w:val="32"/>
          <w:szCs w:val="32"/>
          <w:lang w:val="en-US" w:eastAsia="zh-CN" w:bidi="ar"/>
        </w:rPr>
        <w:t>，计划投资75万元</w:t>
      </w:r>
      <w:r>
        <w:rPr>
          <w:rFonts w:hint="eastAsia" w:ascii="仿宋_GB2312" w:hAnsi="仿宋_GB2312" w:eastAsia="仿宋_GB2312" w:cs="仿宋_GB2312"/>
          <w:sz w:val="32"/>
          <w:szCs w:val="32"/>
          <w:lang w:val="en-US" w:eastAsia="zh-CN"/>
        </w:rPr>
        <w:t>。具体建设内容为：</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1.开挖土石方7500立方米；</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2.修筑M7.5浆砌挡土墙300立方米；</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3.修筑涵洞30米；</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4.碎石土垫层10000平方米；</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5.水混凝土路面10000平方米；</w:t>
      </w:r>
    </w:p>
    <w:p>
      <w:pPr>
        <w:pStyle w:val="4"/>
        <w:pageBreakBefore w:val="0"/>
        <w:widowControl w:val="0"/>
        <w:kinsoku/>
        <w:wordWrap/>
        <w:overflowPunct/>
        <w:topLinePunct w:val="0"/>
        <w:bidi w:val="0"/>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6.边沟浇筑700立方米；</w:t>
      </w:r>
    </w:p>
    <w:p>
      <w:pPr>
        <w:pStyle w:val="4"/>
        <w:pageBreakBefore w:val="0"/>
        <w:widowControl w:val="0"/>
        <w:kinsoku/>
        <w:wordWrap/>
        <w:overflowPunct/>
        <w:topLinePunct w:val="0"/>
        <w:bidi w:val="0"/>
        <w:snapToGrid/>
        <w:spacing w:before="0" w:beforeAutospacing="0" w:after="0" w:afterAutospacing="0"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7.波形护栏2500米。</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五、项目投资概算</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项目计划总投资250万元，资金来源为2023年统筹整合财政涉农资金。</w:t>
      </w:r>
    </w:p>
    <w:p>
      <w:pPr>
        <w:pageBreakBefore w:val="0"/>
        <w:widowControl w:val="0"/>
        <w:kinsoku/>
        <w:wordWrap/>
        <w:overflowPunct/>
        <w:topLinePunct w:val="0"/>
        <w:bidi w:val="0"/>
        <w:snapToGrid/>
        <w:spacing w:line="56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六、资金管理及拨付方式</w:t>
      </w:r>
    </w:p>
    <w:p>
      <w:pPr>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双江自治县</w:t>
      </w:r>
      <w:r>
        <w:rPr>
          <w:rFonts w:hint="eastAsia" w:ascii="仿宋_GB2312" w:hAnsi="仿宋_GB2312" w:eastAsia="仿宋_GB2312" w:cs="仿宋_GB2312"/>
          <w:i w:val="0"/>
          <w:caps w:val="0"/>
          <w:color w:val="000000"/>
          <w:spacing w:val="0"/>
          <w:sz w:val="32"/>
          <w:szCs w:val="32"/>
          <w:shd w:val="clear" w:color="auto" w:fill="FFFFFF"/>
        </w:rPr>
        <w:t>交通</w:t>
      </w:r>
      <w:r>
        <w:rPr>
          <w:rFonts w:hint="eastAsia" w:ascii="仿宋_GB2312" w:hAnsi="仿宋_GB2312" w:eastAsia="仿宋_GB2312" w:cs="仿宋_GB2312"/>
          <w:i w:val="0"/>
          <w:caps w:val="0"/>
          <w:color w:val="000000"/>
          <w:spacing w:val="0"/>
          <w:sz w:val="32"/>
          <w:szCs w:val="32"/>
          <w:shd w:val="clear" w:color="auto" w:fill="FFFFFF"/>
          <w:lang w:val="en-US" w:eastAsia="zh-CN"/>
        </w:rPr>
        <w:t>运输局</w:t>
      </w:r>
      <w:r>
        <w:rPr>
          <w:rFonts w:hint="eastAsia" w:ascii="仿宋_GB2312" w:hAnsi="仿宋_GB2312" w:eastAsia="仿宋_GB2312" w:cs="仿宋_GB2312"/>
          <w:i w:val="0"/>
          <w:caps w:val="0"/>
          <w:color w:val="000000"/>
          <w:spacing w:val="0"/>
          <w:sz w:val="32"/>
          <w:szCs w:val="32"/>
          <w:shd w:val="clear" w:color="auto" w:fill="FFFFFF"/>
        </w:rPr>
        <w:t>严格</w:t>
      </w:r>
      <w:r>
        <w:rPr>
          <w:rFonts w:hint="eastAsia" w:ascii="仿宋_GB2312" w:hAnsi="仿宋_GB2312" w:eastAsia="仿宋_GB2312" w:cs="仿宋_GB2312"/>
          <w:i w:val="0"/>
          <w:caps w:val="0"/>
          <w:color w:val="000000"/>
          <w:spacing w:val="0"/>
          <w:sz w:val="32"/>
          <w:szCs w:val="32"/>
          <w:shd w:val="clear" w:color="auto" w:fill="FFFFFF"/>
          <w:lang w:val="en-US" w:eastAsia="zh-CN"/>
        </w:rPr>
        <w:t>按照</w:t>
      </w:r>
      <w:r>
        <w:rPr>
          <w:rFonts w:ascii="仿宋_GB2312" w:hAnsi="仿宋_GB2312" w:eastAsia="仿宋_GB2312" w:cs="仿宋_GB2312"/>
          <w:color w:val="auto"/>
          <w:kern w:val="1"/>
          <w:sz w:val="32"/>
          <w:szCs w:val="32"/>
          <w:lang w:val="zh-CN"/>
        </w:rPr>
        <w:t>《中华人民共和国会计法》、和财政部《行政单位财务规则》、《事业单位财务规则》等有关法律、</w:t>
      </w:r>
      <w:r>
        <w:rPr>
          <w:rFonts w:hint="eastAsia" w:ascii="仿宋_GB2312" w:hAnsi="仿宋_GB2312" w:eastAsia="仿宋_GB2312" w:cs="仿宋_GB2312"/>
          <w:color w:val="auto"/>
          <w:kern w:val="1"/>
          <w:sz w:val="32"/>
          <w:szCs w:val="32"/>
          <w:lang w:val="zh-CN"/>
        </w:rPr>
        <w:t>法规规定</w:t>
      </w:r>
      <w:r>
        <w:rPr>
          <w:rFonts w:hint="eastAsia" w:ascii="仿宋_GB2312" w:hAnsi="仿宋_GB2312" w:eastAsia="仿宋_GB2312" w:cs="仿宋_GB2312"/>
          <w:color w:val="auto"/>
          <w:kern w:val="1"/>
          <w:sz w:val="32"/>
          <w:szCs w:val="32"/>
          <w:lang w:val="en-US" w:eastAsia="zh-CN"/>
        </w:rPr>
        <w:t>对专项资金进行管理</w:t>
      </w:r>
      <w:r>
        <w:rPr>
          <w:rFonts w:hint="eastAsia" w:ascii="仿宋_GB2312" w:hAnsi="仿宋_GB2312" w:eastAsia="仿宋_GB2312" w:cs="仿宋_GB2312"/>
          <w:color w:val="auto"/>
          <w:kern w:val="1"/>
          <w:sz w:val="32"/>
          <w:szCs w:val="32"/>
          <w:lang w:val="zh-CN"/>
        </w:rPr>
        <w:t>。</w:t>
      </w:r>
      <w:r>
        <w:rPr>
          <w:rFonts w:hint="eastAsia" w:ascii="仿宋_GB2312" w:hAnsi="仿宋_GB2312" w:eastAsia="仿宋_GB2312" w:cs="仿宋_GB2312"/>
          <w:sz w:val="32"/>
          <w:szCs w:val="32"/>
        </w:rPr>
        <w:t>为保障工程建设进度和质量，有效控制工程建设资金的管理和使用，规范建设过程中工程款支付的审批程序，确保资金使用安全，提高资金使用效率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交通运输局</w:t>
      </w:r>
      <w:r>
        <w:rPr>
          <w:rFonts w:hint="eastAsia" w:ascii="仿宋_GB2312" w:hAnsi="仿宋_GB2312" w:eastAsia="仿宋_GB2312" w:cs="仿宋_GB2312"/>
          <w:i w:val="0"/>
          <w:caps w:val="0"/>
          <w:color w:val="333333"/>
          <w:spacing w:val="0"/>
          <w:sz w:val="32"/>
          <w:szCs w:val="32"/>
          <w:shd w:val="clear" w:color="auto" w:fill="FFFFFF"/>
        </w:rPr>
        <w:t>严格按照资金拨付程序、年度项目计划和项目进度拨付</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专项资金按照国库集中支付相关规定办理。专项资金支出预算确定后，严禁随意调整预算，改变支出用途。因客观原因确需调整专项资金使用用途、变更项目内容或调整预算的，业务主管部门必须提出变更申请，并附变更政策依据和说明，按规定程序报批</w:t>
      </w:r>
      <w:r>
        <w:rPr>
          <w:rFonts w:hint="eastAsia" w:ascii="仿宋_GB2312" w:hAnsi="仿宋_GB2312" w:eastAsia="仿宋_GB2312" w:cs="仿宋_GB2312"/>
          <w:i w:val="0"/>
          <w:caps w:val="0"/>
          <w:color w:val="333333"/>
          <w:spacing w:val="0"/>
          <w:sz w:val="32"/>
          <w:szCs w:val="32"/>
          <w:shd w:val="clear" w:color="auto" w:fill="FFFFFF"/>
          <w:lang w:eastAsia="zh-CN"/>
        </w:rPr>
        <w:t>。</w:t>
      </w:r>
    </w:p>
    <w:p>
      <w:pPr>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该项目建设，计划统筹整合财政涉农资金250</w:t>
      </w:r>
      <w:r>
        <w:rPr>
          <w:rFonts w:hint="eastAsia" w:ascii="仿宋_GB2312" w:hAnsi="仿宋_GB2312" w:eastAsia="仿宋_GB2312" w:cs="仿宋_GB2312"/>
          <w:sz w:val="32"/>
          <w:szCs w:val="32"/>
          <w:lang w:val="en-US" w:eastAsia="zh-CN"/>
        </w:rPr>
        <w:t>万元，由县财政统筹整合后下达我局，资金下达后将拨付至施工企业。</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七、时间进度安排</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工期计划2023年5月开工建设，2023年12月完工。</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 xml:space="preserve">八、项目验收办法 </w:t>
      </w:r>
    </w:p>
    <w:p>
      <w:pPr>
        <w:pageBreakBefore w:val="0"/>
        <w:widowControl w:val="0"/>
        <w:kinsoku/>
        <w:wordWrap/>
        <w:overflowPunct/>
        <w:topLinePunct w:val="0"/>
        <w:bidi w:val="0"/>
        <w:snapToGrid/>
        <w:spacing w:line="54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（一）验收单位：</w:t>
      </w:r>
      <w:r>
        <w:rPr>
          <w:rFonts w:hint="eastAsia" w:ascii="Times New Roman" w:hAnsi="Times New Roman" w:eastAsia="仿宋_GB2312" w:cs="Times New Roman"/>
          <w:sz w:val="32"/>
          <w:szCs w:val="32"/>
          <w:lang w:val="en-US" w:eastAsia="zh-CN"/>
        </w:rPr>
        <w:t>双江县交通运输局。</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p>
    <w:p>
      <w:pPr>
        <w:pageBreakBefore w:val="0"/>
        <w:widowControl w:val="0"/>
        <w:kinsoku/>
        <w:wordWrap/>
        <w:overflowPunct/>
        <w:topLinePunct w:val="0"/>
        <w:bidi w:val="0"/>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（二）验收内容及时间：</w:t>
      </w:r>
      <w:r>
        <w:rPr>
          <w:rFonts w:hint="eastAsia" w:ascii="仿宋_GB2312" w:hAnsi="仿宋_GB2312" w:eastAsia="仿宋_GB2312" w:cs="仿宋_GB2312"/>
          <w:sz w:val="32"/>
          <w:szCs w:val="32"/>
          <w:lang w:val="en-US" w:eastAsia="zh-CN"/>
        </w:rPr>
        <w:t>对新（改）扩建的2.5公里路面硬化路和25公里生命安全防护工程进行验收，验收时间计划在2023年12月底。</w:t>
      </w:r>
    </w:p>
    <w:p>
      <w:pPr>
        <w:pStyle w:val="8"/>
        <w:pageBreakBefore w:val="0"/>
        <w:widowControl w:val="0"/>
        <w:kinsoku/>
        <w:wordWrap/>
        <w:overflowPunct/>
        <w:topLinePunct w:val="0"/>
        <w:bidi w:val="0"/>
        <w:snapToGrid/>
        <w:spacing w:line="540" w:lineRule="exact"/>
        <w:ind w:firstLine="643" w:firstLineChars="200"/>
        <w:jc w:val="both"/>
        <w:textAlignment w:val="auto"/>
        <w:rPr>
          <w:rFonts w:hint="default" w:ascii="Times New Roman" w:hAnsi="Times New Roman" w:eastAsia="仿宋_GB2312" w:cs="Times New Roman"/>
          <w:bCs/>
          <w:kern w:val="0"/>
          <w:sz w:val="32"/>
          <w:szCs w:val="32"/>
          <w:lang w:val="en-US" w:eastAsia="zh-CN"/>
        </w:rPr>
      </w:pPr>
      <w:r>
        <w:rPr>
          <w:rFonts w:hint="eastAsia" w:ascii="楷体_GB2312" w:hAnsi="楷体_GB2312" w:eastAsia="楷体_GB2312" w:cs="楷体_GB2312"/>
          <w:b/>
          <w:bCs/>
          <w:kern w:val="2"/>
          <w:sz w:val="32"/>
          <w:szCs w:val="32"/>
          <w:lang w:val="en-US" w:eastAsia="zh-CN" w:bidi="ar-SA"/>
        </w:rPr>
        <w:t>（三）验收标准：</w:t>
      </w:r>
      <w:r>
        <w:rPr>
          <w:rFonts w:hint="eastAsia" w:ascii="Times New Roman" w:hAnsi="Times New Roman" w:eastAsia="仿宋_GB2312" w:cs="Times New Roman"/>
          <w:sz w:val="32"/>
          <w:szCs w:val="32"/>
          <w:lang w:val="en-US" w:eastAsia="zh-CN"/>
        </w:rPr>
        <w:t>遵照《公路工程竣（交）工验收办法实施细则》，对项目的各分项分部工程进行检测验收。</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九、项目效益分析</w:t>
      </w:r>
    </w:p>
    <w:p>
      <w:pPr>
        <w:pageBreakBefore w:val="0"/>
        <w:widowControl w:val="0"/>
        <w:kinsoku/>
        <w:wordWrap/>
        <w:overflowPunct/>
        <w:topLinePunct w:val="0"/>
        <w:bidi w:val="0"/>
        <w:snapToGrid/>
        <w:spacing w:line="590" w:lineRule="exact"/>
        <w:ind w:firstLine="643"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一）经济效益：</w:t>
      </w:r>
      <w:r>
        <w:rPr>
          <w:rFonts w:hint="eastAsia" w:ascii="仿宋_GB2312" w:hAnsi="仿宋_GB2312" w:eastAsia="仿宋_GB2312" w:cs="仿宋_GB2312"/>
          <w:kern w:val="0"/>
          <w:sz w:val="32"/>
          <w:szCs w:val="32"/>
          <w:lang w:val="en-US" w:eastAsia="zh-CN" w:bidi="ar-SA"/>
        </w:rPr>
        <w:t>项目建成后，进一步优化公路通行条件，缩短运输时间，减少了运输成本。</w:t>
      </w:r>
    </w:p>
    <w:p>
      <w:pPr>
        <w:pageBreakBefore w:val="0"/>
        <w:widowControl w:val="0"/>
        <w:kinsoku/>
        <w:wordWrap/>
        <w:overflowPunct/>
        <w:topLinePunct w:val="0"/>
        <w:bidi w:val="0"/>
        <w:snapToGrid/>
        <w:spacing w:line="590" w:lineRule="exact"/>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（二）社会效益：</w:t>
      </w:r>
      <w:r>
        <w:rPr>
          <w:rFonts w:hint="eastAsia" w:ascii="仿宋_GB2312" w:hAnsi="仿宋_GB2312" w:eastAsia="仿宋_GB2312" w:cs="仿宋_GB2312"/>
          <w:b w:val="0"/>
          <w:bCs w:val="0"/>
          <w:sz w:val="32"/>
          <w:szCs w:val="32"/>
          <w:lang w:val="en-US" w:eastAsia="zh-CN"/>
        </w:rPr>
        <w:t>项目建成后，一方面进一步提高了交通运输安全保障。一方面</w:t>
      </w:r>
      <w:r>
        <w:rPr>
          <w:rFonts w:hint="eastAsia" w:ascii="仿宋_GB2312" w:hAnsi="仿宋_GB2312" w:eastAsia="仿宋_GB2312" w:cs="仿宋_GB2312"/>
          <w:kern w:val="0"/>
          <w:sz w:val="32"/>
          <w:szCs w:val="32"/>
          <w:lang w:val="en-US" w:eastAsia="zh-CN" w:bidi="ar-SA"/>
        </w:rPr>
        <w:t>带动建筑行业和机械行业的发展，使各相关行业的就业率得到提高。同时拉动人流、物流、信息流、资金流快速发展，提高生活质量，全面提高群众满意度。</w:t>
      </w:r>
    </w:p>
    <w:p>
      <w:pPr>
        <w:pageBreakBefore w:val="0"/>
        <w:widowControl w:val="0"/>
        <w:kinsoku/>
        <w:wordWrap/>
        <w:overflowPunct/>
        <w:topLinePunct w:val="0"/>
        <w:bidi w:val="0"/>
        <w:snapToGrid/>
        <w:spacing w:line="590" w:lineRule="exact"/>
        <w:ind w:firstLine="643"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（三）生态效益：</w:t>
      </w:r>
      <w:r>
        <w:rPr>
          <w:rFonts w:hint="eastAsia" w:ascii="仿宋_GB2312" w:hAnsi="仿宋_GB2312" w:eastAsia="仿宋_GB2312" w:cs="仿宋_GB2312"/>
          <w:b w:val="0"/>
          <w:bCs w:val="0"/>
          <w:sz w:val="32"/>
          <w:szCs w:val="32"/>
          <w:lang w:val="en-US" w:eastAsia="zh-CN"/>
        </w:rPr>
        <w:t>该项目</w:t>
      </w:r>
      <w:r>
        <w:rPr>
          <w:rFonts w:hint="eastAsia" w:ascii="仿宋_GB2312" w:hAnsi="仿宋_GB2312" w:eastAsia="仿宋_GB2312" w:cs="仿宋_GB2312"/>
          <w:kern w:val="0"/>
          <w:sz w:val="32"/>
          <w:szCs w:val="32"/>
          <w:lang w:val="en-US" w:eastAsia="zh-CN" w:bidi="ar-SA"/>
        </w:rPr>
        <w:t>的建成，将进一步拉动美丽公路的建设，提高公路绿化效果。</w:t>
      </w:r>
    </w:p>
    <w:p>
      <w:pPr>
        <w:pageBreakBefore w:val="0"/>
        <w:widowControl w:val="0"/>
        <w:kinsoku/>
        <w:wordWrap/>
        <w:overflowPunct/>
        <w:topLinePunct w:val="0"/>
        <w:bidi w:val="0"/>
        <w:snapToGrid/>
        <w:spacing w:line="590" w:lineRule="exact"/>
        <w:ind w:firstLine="611" w:firstLineChars="200"/>
        <w:jc w:val="both"/>
        <w:textAlignment w:val="auto"/>
        <w:rPr>
          <w:rFonts w:ascii="Times New Roman" w:hAnsi="Times New Roman" w:eastAsia="黑体" w:cs="Times New Roman"/>
          <w:b/>
          <w:bCs/>
          <w:spacing w:val="-8"/>
          <w:kern w:val="0"/>
          <w:sz w:val="32"/>
          <w:szCs w:val="32"/>
        </w:rPr>
      </w:pPr>
      <w:r>
        <w:rPr>
          <w:rFonts w:ascii="Times New Roman" w:hAnsi="Times New Roman" w:eastAsia="黑体" w:cs="Times New Roman"/>
          <w:b/>
          <w:bCs/>
          <w:spacing w:val="-8"/>
          <w:kern w:val="0"/>
          <w:sz w:val="32"/>
          <w:szCs w:val="32"/>
        </w:rPr>
        <w:t>十、绩效考核</w:t>
      </w:r>
    </w:p>
    <w:p>
      <w:pPr>
        <w:pageBreakBefore w:val="0"/>
        <w:widowControl w:val="0"/>
        <w:kinsoku/>
        <w:wordWrap/>
        <w:overflowPunct/>
        <w:topLinePunct w:val="0"/>
        <w:bidi w:val="0"/>
        <w:snapToGrid/>
        <w:spacing w:line="590" w:lineRule="exact"/>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（一）绩效目标：</w:t>
      </w:r>
      <w:r>
        <w:rPr>
          <w:rFonts w:hint="eastAsia" w:ascii="仿宋_GB2312" w:hAnsi="仿宋_GB2312" w:eastAsia="仿宋_GB2312" w:cs="仿宋_GB2312"/>
          <w:kern w:val="0"/>
          <w:sz w:val="32"/>
          <w:szCs w:val="32"/>
          <w:lang w:val="en-US" w:eastAsia="zh-CN" w:bidi="ar-SA"/>
        </w:rPr>
        <w:t>项目按时完工率达到100%，验收合格率达到100%。</w:t>
      </w:r>
    </w:p>
    <w:p>
      <w:pPr>
        <w:pageBreakBefore w:val="0"/>
        <w:widowControl w:val="0"/>
        <w:kinsoku/>
        <w:wordWrap/>
        <w:overflowPunct/>
        <w:topLinePunct w:val="0"/>
        <w:bidi w:val="0"/>
        <w:snapToGrid/>
        <w:spacing w:line="59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（二）绩效考核办法：</w:t>
      </w:r>
      <w:r>
        <w:rPr>
          <w:rFonts w:hint="eastAsia" w:ascii="Times New Roman" w:hAnsi="Times New Roman" w:eastAsia="仿宋_GB2312" w:cs="Times New Roman"/>
          <w:sz w:val="32"/>
          <w:szCs w:val="32"/>
          <w:lang w:val="en-US" w:eastAsia="zh-CN"/>
        </w:rPr>
        <w:t>项目完工后对项目进行竣（交）工质量检测，从完工时间和检测合格率，两个方面进行考核。分别根据项目实际完工时间和计划完工时间，检测合格情况确定达标率。</w:t>
      </w:r>
    </w:p>
    <w:p>
      <w:pPr>
        <w:pageBreakBefore w:val="0"/>
        <w:widowControl w:val="0"/>
        <w:kinsoku/>
        <w:wordWrap/>
        <w:overflowPunct/>
        <w:topLinePunct w:val="0"/>
        <w:bidi w:val="0"/>
        <w:snapToGrid/>
        <w:spacing w:line="590" w:lineRule="exact"/>
        <w:ind w:firstLine="611" w:firstLineChars="200"/>
        <w:jc w:val="both"/>
        <w:textAlignment w:val="auto"/>
        <w:rPr>
          <w:rFonts w:ascii="Times New Roman" w:hAnsi="Times New Roman" w:eastAsia="黑体" w:cs="Times New Roman"/>
          <w:b/>
          <w:bCs/>
          <w:sz w:val="32"/>
          <w:szCs w:val="32"/>
        </w:rPr>
      </w:pPr>
      <w:r>
        <w:rPr>
          <w:rFonts w:ascii="Times New Roman" w:hAnsi="Times New Roman" w:eastAsia="黑体" w:cs="Times New Roman"/>
          <w:b/>
          <w:bCs/>
          <w:spacing w:val="-8"/>
          <w:kern w:val="0"/>
          <w:sz w:val="32"/>
          <w:szCs w:val="32"/>
        </w:rPr>
        <w:t>十一、保障措施</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（一）资金保障：</w:t>
      </w:r>
      <w:r>
        <w:rPr>
          <w:rFonts w:hint="eastAsia" w:ascii="仿宋_GB2312" w:hAnsi="仿宋_GB2312" w:eastAsia="仿宋_GB2312" w:cs="仿宋_GB2312"/>
          <w:b w:val="0"/>
          <w:bCs w:val="0"/>
          <w:sz w:val="32"/>
          <w:szCs w:val="32"/>
          <w:lang w:val="en-US" w:eastAsia="zh-CN"/>
        </w:rPr>
        <w:t>该</w:t>
      </w:r>
      <w:r>
        <w:rPr>
          <w:rFonts w:hint="eastAsia" w:ascii="Times New Roman" w:hAnsi="Times New Roman" w:eastAsia="仿宋_GB2312" w:cs="Times New Roman"/>
          <w:sz w:val="32"/>
          <w:szCs w:val="32"/>
          <w:lang w:val="en-US" w:eastAsia="zh-CN"/>
        </w:rPr>
        <w:t>项目建设需投入大量建设资金，我局将加强向县委、县政府请示汇报，积极与县乡村振兴局、县财政局协调对接，争取及时清算资金额度。</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（二）要素保障：</w:t>
      </w:r>
      <w:r>
        <w:rPr>
          <w:rFonts w:hint="eastAsia" w:ascii="Times New Roman" w:hAnsi="Times New Roman" w:eastAsia="仿宋_GB2312" w:cs="Times New Roman"/>
          <w:sz w:val="32"/>
          <w:szCs w:val="32"/>
          <w:lang w:val="en-US" w:eastAsia="zh-CN"/>
        </w:rPr>
        <w:t>项目前期规划工作中，积极与自然资源局、林业局等相关部门对接，提前预测、避让受限区域。项目报件、审批过程中，做好追踪工作，根据现行政策争取按标准建设。</w:t>
      </w:r>
    </w:p>
    <w:p>
      <w:pPr>
        <w:pageBreakBefore w:val="0"/>
        <w:widowControl w:val="0"/>
        <w:kinsoku/>
        <w:wordWrap/>
        <w:overflowPunct/>
        <w:topLinePunct w:val="0"/>
        <w:bidi w:val="0"/>
        <w:snapToGrid/>
        <w:spacing w:line="590" w:lineRule="exact"/>
        <w:ind w:firstLine="643" w:firstLineChars="200"/>
        <w:jc w:val="both"/>
        <w:textAlignment w:val="auto"/>
        <w:rPr>
          <w:rFonts w:hint="eastAsia"/>
          <w:lang w:val="en-US" w:eastAsia="zh-CN"/>
        </w:rPr>
      </w:pPr>
      <w:r>
        <w:rPr>
          <w:rFonts w:hint="eastAsia" w:ascii="楷体_GB2312" w:hAnsi="楷体_GB2312" w:eastAsia="楷体_GB2312" w:cs="楷体_GB2312"/>
          <w:b/>
          <w:bCs/>
          <w:kern w:val="2"/>
          <w:sz w:val="32"/>
          <w:szCs w:val="32"/>
          <w:lang w:val="en-US" w:eastAsia="zh-CN" w:bidi="ar-SA"/>
        </w:rPr>
        <w:t>（三）技术指标保障：</w:t>
      </w:r>
      <w:r>
        <w:rPr>
          <w:rFonts w:hint="eastAsia" w:ascii="Times New Roman" w:hAnsi="Times New Roman" w:eastAsia="仿宋_GB2312" w:cs="Times New Roman"/>
          <w:sz w:val="32"/>
          <w:szCs w:val="32"/>
          <w:lang w:val="en-US" w:eastAsia="zh-CN"/>
        </w:rPr>
        <w:t>积极与乡（镇）和有关部门做好协调工作，为项目创造更多落地条件，尽量满足设计各项指标。实在无法满足指标的，在相关路段增设相应小半径、大纵坡、村寨路段等相关警示标志牌，提高安全意识。</w:t>
      </w:r>
    </w:p>
    <w:p>
      <w:pPr>
        <w:pStyle w:val="2"/>
        <w:rPr>
          <w:rFonts w:hint="eastAsia"/>
          <w:lang w:val="en-US" w:eastAsia="zh-CN"/>
        </w:rPr>
      </w:pPr>
    </w:p>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隶书">
    <w:panose1 w:val="02010509060101010101"/>
    <w:charset w:val="86"/>
    <w:family w:val="auto"/>
    <w:pitch w:val="default"/>
    <w:sig w:usb0="00000001" w:usb1="080E0000" w:usb2="00000000" w:usb3="00000000" w:csb0="00040000" w:csb1="00000000"/>
  </w:font>
  <w:font w:name="方正字迹-子实行楷简体">
    <w:altName w:val="楷体_GB2312"/>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Times New Roman" w:hAnsi="Times New Roman" w:cs="Times New Roman"/>
                              <w:b/>
                              <w:bCs/>
                              <w:sz w:val="28"/>
                              <w:szCs w:val="28"/>
                            </w:rPr>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AfMT5yqwEAAE0DAAAO&#10;AAAAAAAAAAEAIAAAAB4BAABkcnMvZTJvRG9jLnhtbFBLBQYAAAAABgAGAFkBAAA7BQAAAAA=&#10;">
              <v:fill on="f" focussize="0,0"/>
              <v:stroke on="f"/>
              <v:imagedata o:title=""/>
              <o:lock v:ext="edit" aspectratio="f"/>
              <v:textbox inset="0mm,0mm,0mm,0mm" style="mso-fit-shape-to-text:t;">
                <w:txbxContent>
                  <w:p>
                    <w:pPr>
                      <w:snapToGrid w:val="0"/>
                      <w:rPr>
                        <w:rFonts w:ascii="Times New Roman" w:hAnsi="Times New Roman" w:cs="Times New Roman"/>
                        <w:b/>
                        <w:bCs/>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Times New Roman" w:hAnsi="Times New Roman" w:cs="Times New Roman"/>
                              <w:b/>
                              <w:bCs/>
                              <w:sz w:val="28"/>
                              <w:szCs w:val="28"/>
                            </w:rPr>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B2agxaqwEAAE0DAAAO&#10;AAAAAAAAAAEAIAAAAB4BAABkcnMvZTJvRG9jLnhtbFBLBQYAAAAABgAGAFkBAAA7BQAAAAA=&#10;">
              <v:fill on="f" focussize="0,0"/>
              <v:stroke on="f"/>
              <v:imagedata o:title=""/>
              <o:lock v:ext="edit" aspectratio="f"/>
              <v:textbox inset="0mm,0mm,0mm,0mm" style="mso-fit-shape-to-text:t;">
                <w:txbxContent>
                  <w:p>
                    <w:pPr>
                      <w:snapToGrid w:val="0"/>
                      <w:rPr>
                        <w:rFonts w:ascii="Times New Roman" w:hAnsi="Times New Roman" w:cs="Times New Roman"/>
                        <w:b/>
                        <w:bCs/>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Times New Roman" w:hAnsi="Times New Roman" w:cs="Times New Roman"/>
                              <w:b/>
                              <w:bCs/>
                              <w:sz w:val="28"/>
                              <w:szCs w:val="28"/>
                            </w:rPr>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HOfM9awBAABNAwAA&#10;DgAAAAAAAAABACAAAAAeAQAAZHJzL2Uyb0RvYy54bWxQSwUGAAAAAAYABgBZAQAAPAUAAAAA&#10;">
              <v:fill on="f" focussize="0,0"/>
              <v:stroke on="f"/>
              <v:imagedata o:title=""/>
              <o:lock v:ext="edit" aspectratio="f"/>
              <v:textbox inset="0mm,0mm,0mm,0mm" style="mso-fit-shape-to-text:t;">
                <w:txbxContent>
                  <w:p>
                    <w:pPr>
                      <w:snapToGrid w:val="0"/>
                      <w:rPr>
                        <w:rFonts w:ascii="Times New Roman" w:hAnsi="Times New Roman" w:cs="Times New Roman"/>
                        <w:b/>
                        <w:bCs/>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Times New Roman" w:hAnsi="Times New Roman" w:cs="Times New Roman"/>
                              <w:b/>
                              <w:bCs/>
                              <w:sz w:val="28"/>
                              <w:szCs w:val="28"/>
                            </w:rPr>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i5+fi6wBAABNAwAA&#10;DgAAAAAAAAABACAAAAAeAQAAZHJzL2Uyb0RvYy54bWxQSwUGAAAAAAYABgBZAQAAPAUAAAAA&#10;">
              <v:fill on="f" focussize="0,0"/>
              <v:stroke on="f"/>
              <v:imagedata o:title=""/>
              <o:lock v:ext="edit" aspectratio="f"/>
              <v:textbox inset="0mm,0mm,0mm,0mm" style="mso-fit-shape-to-text:t;">
                <w:txbxContent>
                  <w:p>
                    <w:pPr>
                      <w:snapToGrid w:val="0"/>
                      <w:rPr>
                        <w:rFonts w:ascii="Times New Roman" w:hAnsi="Times New Roman" w:cs="Times New Roman"/>
                        <w:b/>
                        <w:bCs/>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E3A0F"/>
    <w:rsid w:val="19B37E34"/>
    <w:rsid w:val="394E3A0F"/>
    <w:rsid w:val="5DDD4042"/>
    <w:rsid w:val="773311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sz w:val="32"/>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_Style 2"/>
    <w:basedOn w:val="1"/>
    <w:qFormat/>
    <w:uiPriority w:val="99"/>
    <w:pPr>
      <w:ind w:firstLine="420" w:firstLineChars="200"/>
    </w:p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Calibri" w:hAnsi="Calibri" w:eastAsia="宋体" w:cs="黑体"/>
      <w:kern w:val="2"/>
      <w:sz w:val="21"/>
      <w:szCs w:val="24"/>
      <w:lang w:val="en-US" w:eastAsia="zh-CN" w:bidi="ar-SA"/>
    </w:rPr>
  </w:style>
  <w:style w:type="paragraph" w:customStyle="1" w:styleId="9">
    <w:name w:val="图表目录1"/>
    <w:basedOn w:val="8"/>
    <w:next w:val="8"/>
    <w:qFormat/>
    <w:uiPriority w:val="0"/>
    <w:pPr>
      <w:ind w:left="200" w:leftChars="200" w:hanging="200" w:hanging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临沧市双江县党政机关单位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2023-06-06T07:11:00Z</dcterms:created>
  <dc:creator>Administrator</dc:creator>
  <cp:lastModifiedBy>陈鹏</cp:lastModifiedBy>
  <dcterms:modified xsi:type="dcterms:W3CDTF">2023-06-07T07:15:12Z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