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9325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val="en-US" w:eastAsia="zh-CN" w:bidi="ar"/>
        </w:rPr>
        <w:t>双江自治县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val="en-US" w:eastAsia="zh-CN" w:bidi="ar"/>
        </w:rPr>
        <w:t>2023年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val="en-US" w:eastAsia="zh-CN" w:bidi="ar"/>
        </w:rPr>
        <w:t>“三公”经费决算情况</w:t>
      </w:r>
    </w:p>
    <w:p w14:paraId="44137C2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</w:p>
    <w:p w14:paraId="2328E63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根据《中华人民共和国预算法》及其实施条例、《财政部关于印发〈地方预决算公开操作规程〉的通知》（财预〔2016〕143号）和《中共云南省委办公厅云南省人民政府办公厅印发〈关于进一步推进预算公开工作的实施意见〉的通知》（云办发〔2016〕29号）有关要求，双江自治县对2023年度纳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部门决算管理的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预算单位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上报的一般公共预算财政拨款安排的“三公”经费决算进行汇总，现将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双江自治县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2023年度“三公”经费决算汇总情况公开如下：</w:t>
      </w:r>
    </w:p>
    <w:p w14:paraId="412AF40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24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2023年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度，一般公共预算财政拨款“三公”经费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年初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预算数为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573.68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较上年668.84万元减少95.16万元，降幅14.23%；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支出决算数为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578.21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完成年初预算数573.68万元的100.79%，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较上年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537.06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万元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增加41.15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增幅7.66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%。</w:t>
      </w:r>
    </w:p>
    <w:p w14:paraId="3DFDA735">
      <w:pPr>
        <w:keepNext w:val="0"/>
        <w:keepLines w:val="0"/>
        <w:widowControl/>
        <w:suppressLineNumbers w:val="0"/>
        <w:ind w:firstLine="664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分项构成情况是：因公出国（境）费为0万元，较上年0万元减少0万元，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降幅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0%。公务接待费为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162.39万元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完成年初预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算数262.53万元的61.86%，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较上年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147.25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万元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增加15.14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增幅10.28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%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，增加</w:t>
      </w:r>
      <w:r>
        <w:rPr>
          <w:rFonts w:hint="eastAsia" w:ascii="仿宋_GB2312" w:hAnsi="仿宋_GB2312" w:eastAsia="仿宋_GB2312" w:cs="仿宋_GB2312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原因主要是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因开展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auto"/>
          <w:lang w:bidi="ar"/>
        </w:rPr>
        <w:t>打击电诈及跨境违法犯罪工作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等各类专项业务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；疫情开放，双江自治县开展各类活动、招商引资业等业务增加，上级到双次数较多，接待次数增加故公务接待费支出较上年增加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。全年国内公务接待批次为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1837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次，共接待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13838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人次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，无外事接待、国（境）外公务接待的发生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。公务用车购置及运行维护费为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415.82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完成年初预算数311.15万元的133.64%，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较上年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389.81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万元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增加26.01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增幅6.67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%，公务用车购置及运行维护费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较上年增加的原因是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本年度本县因公车老化严重，部分单位购置公车等原因，公务用车购置及运行维护费增加。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其中，公务用车购置费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61.80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完成年初预算数70万元的88.29%，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较上年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0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万元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增加61.80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增幅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100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%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，公务用车购置较上年增加的原因是县公安局、县人民政府、县监察委员会购置车辆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；公务用车运行维护费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354.02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完成年初预算数241.15万元的146.8%，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较上年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389.81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万元减少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35.79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减幅9.18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%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公务用车运行维护费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减少原因是各级各部门实地督察次数减少，公车使用次数减少，部分单位公务用车运行维护费放到下一年度清算等，故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公务用车运行维护费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较上年减少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。年末公务用车保有量为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204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辆。</w:t>
      </w:r>
    </w:p>
    <w:p w14:paraId="587D97AD">
      <w:pPr>
        <w:keepNext w:val="0"/>
        <w:keepLines w:val="0"/>
        <w:widowControl/>
        <w:suppressLineNumbers w:val="0"/>
        <w:ind w:firstLine="664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双江自治县2023年“三公”经费年初预算数较上年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减少95.16万元，降幅14.23%；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支出决算数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较上年增加41.15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增幅7.66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%。双江自治县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将继续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按照中央八项规定精神和《党政机关厉行节约反对浪费条例》等有关文件规定以及过“紧日子”的要求，进一步加强“三公”经费管理，强化预算控制、预算执行约束及动态监控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，基于全县三公经费基数本来就较低，为保障正常工作需要，压缩难度较大，但双江自治县将继续严格落实“三公”经费财政拨款预算“只减不增”的要求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6C8654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 w14:paraId="59EE14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 w14:paraId="080B9A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 w14:paraId="386731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 w14:paraId="19E2B6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 w14:paraId="5DC0D1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 w14:paraId="276230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 w14:paraId="299AD6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 w14:paraId="0A87E2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 w14:paraId="1DFA2F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 w14:paraId="3A51EB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 w14:paraId="26F8D7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 w14:paraId="778DF6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 w14:paraId="0E86C2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 w14:paraId="751841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 w14:paraId="1038C6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 w14:paraId="2FC2DD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 w14:paraId="7429AF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 w14:paraId="59125B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 w14:paraId="5CD307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 w14:paraId="7D913D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 w14:paraId="260802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right="0"/>
        <w:jc w:val="left"/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附件1：</w:t>
      </w:r>
    </w:p>
    <w:p w14:paraId="1F7031A9">
      <w:pPr>
        <w:rPr>
          <w:rFonts w:hint="default" w:ascii="Times New Roman" w:hAnsi="Times New Roman" w:eastAsia="仿宋_GB2312" w:cs="Times New Roman"/>
          <w:color w:val="auto"/>
        </w:rPr>
      </w:pPr>
    </w:p>
    <w:p w14:paraId="6450E734">
      <w:pPr>
        <w:jc w:val="center"/>
        <w:rPr>
          <w:rFonts w:hint="default" w:ascii="Times New Roman" w:hAnsi="Times New Roman" w:eastAsia="方正小标宋简体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40"/>
          <w:lang w:eastAsia="zh-CN"/>
        </w:rPr>
        <w:t>双江自治县</w:t>
      </w:r>
      <w:r>
        <w:rPr>
          <w:rFonts w:hint="eastAsia" w:ascii="Times New Roman" w:hAnsi="Times New Roman" w:eastAsia="方正小标宋简体" w:cs="Times New Roman"/>
          <w:color w:val="auto"/>
          <w:sz w:val="32"/>
          <w:szCs w:val="40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32"/>
          <w:szCs w:val="40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color w:val="auto"/>
          <w:sz w:val="32"/>
          <w:szCs w:val="40"/>
          <w:lang w:eastAsia="zh-CN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40"/>
        </w:rPr>
        <w:t>“三公”经费决算情况</w:t>
      </w:r>
    </w:p>
    <w:p w14:paraId="438991A8">
      <w:pPr>
        <w:jc w:val="right"/>
        <w:rPr>
          <w:rFonts w:hint="default" w:ascii="Times New Roman" w:hAnsi="Times New Roman" w:eastAsia="仿宋_GB2312" w:cs="Times New Roman"/>
          <w:color w:val="auto"/>
          <w:sz w:val="28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36"/>
          <w:lang w:val="en-US" w:eastAsia="zh-CN"/>
        </w:rPr>
        <w:t>单位：万元</w:t>
      </w:r>
    </w:p>
    <w:p w14:paraId="6A3CB51B">
      <w:pPr>
        <w:rPr>
          <w:rFonts w:hint="default" w:ascii="Times New Roman" w:hAnsi="Times New Roman" w:eastAsia="仿宋_GB2312" w:cs="Times New Roman"/>
          <w:color w:val="auto"/>
          <w:sz w:val="22"/>
          <w:szCs w:val="28"/>
        </w:rPr>
      </w:pPr>
    </w:p>
    <w:tbl>
      <w:tblPr>
        <w:tblStyle w:val="5"/>
        <w:tblpPr w:leftFromText="180" w:rightFromText="180" w:vertAnchor="text" w:horzAnchor="page" w:tblpX="1695" w:tblpY="20"/>
        <w:tblOverlap w:val="never"/>
        <w:tblW w:w="864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9"/>
        <w:gridCol w:w="1310"/>
        <w:gridCol w:w="1395"/>
        <w:gridCol w:w="1627"/>
        <w:gridCol w:w="1626"/>
      </w:tblGrid>
      <w:tr w14:paraId="689F7A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A1DF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项  目</w:t>
            </w:r>
          </w:p>
        </w:tc>
        <w:tc>
          <w:tcPr>
            <w:tcW w:w="13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65CF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年“三公”经费</w:t>
            </w:r>
          </w:p>
        </w:tc>
        <w:tc>
          <w:tcPr>
            <w:tcW w:w="13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9415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2023年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“三公”经费</w:t>
            </w:r>
          </w:p>
        </w:tc>
        <w:tc>
          <w:tcPr>
            <w:tcW w:w="32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8576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较上年增减情况</w:t>
            </w:r>
          </w:p>
        </w:tc>
      </w:tr>
      <w:tr w14:paraId="03E8A8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22B1D1"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CD32C3"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8A337D"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0564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增、减额</w:t>
            </w:r>
          </w:p>
        </w:tc>
        <w:tc>
          <w:tcPr>
            <w:tcW w:w="1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4A87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增、减幅度（％）</w:t>
            </w:r>
          </w:p>
        </w:tc>
      </w:tr>
      <w:tr w14:paraId="22C771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869B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合  计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36AB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537.06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C61C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578.21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1A33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41.15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E421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 w14:paraId="1D725F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ED0C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    1、因公出国（境）费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61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FB08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B5F3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3101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 w14:paraId="6513D4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58B1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    2、公务接待费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40BA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147.25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95E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162.39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D17B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15.14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44F6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 w14:paraId="264779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C02A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    3、公务用车费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1085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389.81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F06B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415.82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491A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26.01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E368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 w14:paraId="676EB9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3DEC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其中：（1）公务用车购置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C7E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C15C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61.80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718C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61.8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4F2F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 w14:paraId="127C8A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97D6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       （2）公务用车运行维护费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EE8F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389.81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0BF8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354.02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753D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-35.79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F56E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-9.18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p w14:paraId="0240CF85">
      <w:pPr>
        <w:rPr>
          <w:rFonts w:hint="default" w:ascii="Times New Roman" w:hAnsi="Times New Roman" w:eastAsia="仿宋_GB2312" w:cs="Times New Roman"/>
          <w:color w:val="auto"/>
        </w:rPr>
      </w:pPr>
    </w:p>
    <w:p w14:paraId="5D245C05">
      <w:pPr>
        <w:rPr>
          <w:rFonts w:hint="default" w:ascii="Times New Roman" w:hAnsi="Times New Roman" w:eastAsia="仿宋_GB2312" w:cs="Times New Roman"/>
          <w:color w:val="auto"/>
        </w:rPr>
      </w:pPr>
    </w:p>
    <w:p w14:paraId="6B450683">
      <w:pPr>
        <w:rPr>
          <w:rFonts w:hint="default" w:ascii="Times New Roman" w:hAnsi="Times New Roman" w:eastAsia="仿宋_GB2312" w:cs="Times New Roman"/>
          <w:color w:val="auto"/>
        </w:rPr>
      </w:pPr>
    </w:p>
    <w:p w14:paraId="52E2D9B5">
      <w:pPr>
        <w:rPr>
          <w:rFonts w:hint="default" w:ascii="Times New Roman" w:hAnsi="Times New Roman" w:eastAsia="仿宋_GB2312" w:cs="Times New Roman"/>
          <w:color w:val="auto"/>
        </w:rPr>
      </w:pPr>
    </w:p>
    <w:p w14:paraId="51E0AF8C">
      <w:pPr>
        <w:rPr>
          <w:rFonts w:hint="default" w:ascii="Times New Roman" w:hAnsi="Times New Roman" w:eastAsia="仿宋_GB2312" w:cs="Times New Roman"/>
          <w:color w:val="auto"/>
        </w:rPr>
      </w:pPr>
    </w:p>
    <w:p w14:paraId="22B7D4CC">
      <w:pPr>
        <w:rPr>
          <w:rFonts w:hint="default" w:ascii="Times New Roman" w:hAnsi="Times New Roman" w:eastAsia="仿宋_GB2312" w:cs="Times New Roman"/>
          <w:color w:val="auto"/>
        </w:rPr>
      </w:pPr>
    </w:p>
    <w:p w14:paraId="146C6F24">
      <w:pPr>
        <w:rPr>
          <w:rFonts w:hint="default" w:ascii="Times New Roman" w:hAnsi="Times New Roman" w:eastAsia="仿宋_GB2312" w:cs="Times New Roman"/>
          <w:color w:val="auto"/>
        </w:rPr>
      </w:pPr>
    </w:p>
    <w:p w14:paraId="7FF76917">
      <w:pPr>
        <w:rPr>
          <w:rFonts w:hint="default" w:ascii="Times New Roman" w:hAnsi="Times New Roman" w:eastAsia="仿宋_GB2312" w:cs="Times New Roman"/>
          <w:color w:val="auto"/>
        </w:rPr>
      </w:pPr>
    </w:p>
    <w:p w14:paraId="3235E2AE">
      <w:pPr>
        <w:rPr>
          <w:rFonts w:hint="default" w:ascii="Times New Roman" w:hAnsi="Times New Roman" w:eastAsia="仿宋_GB2312" w:cs="Times New Roman"/>
          <w:color w:val="auto"/>
        </w:rPr>
      </w:pPr>
    </w:p>
    <w:p w14:paraId="5D6D16CC">
      <w:pPr>
        <w:rPr>
          <w:rFonts w:hint="default" w:ascii="Times New Roman" w:hAnsi="Times New Roman" w:eastAsia="仿宋_GB2312" w:cs="Times New Roman"/>
          <w:color w:val="auto"/>
        </w:rPr>
      </w:pPr>
    </w:p>
    <w:p w14:paraId="23FB1BF0">
      <w:pPr>
        <w:rPr>
          <w:rFonts w:hint="default" w:ascii="Times New Roman" w:hAnsi="Times New Roman" w:eastAsia="仿宋_GB2312" w:cs="Times New Roman"/>
          <w:color w:val="auto"/>
        </w:rPr>
      </w:pPr>
    </w:p>
    <w:p w14:paraId="12F9BF03">
      <w:pPr>
        <w:rPr>
          <w:rFonts w:hint="default" w:ascii="Times New Roman" w:hAnsi="Times New Roman" w:eastAsia="仿宋_GB2312" w:cs="Times New Roman"/>
          <w:color w:val="auto"/>
        </w:rPr>
      </w:pPr>
    </w:p>
    <w:p w14:paraId="6F34CF17">
      <w:pPr>
        <w:rPr>
          <w:rFonts w:hint="default" w:ascii="Times New Roman" w:hAnsi="Times New Roman" w:eastAsia="仿宋_GB2312" w:cs="Times New Roman"/>
          <w:color w:val="auto"/>
        </w:rPr>
      </w:pPr>
    </w:p>
    <w:p w14:paraId="1399CBF1">
      <w:pPr>
        <w:rPr>
          <w:rFonts w:hint="default" w:ascii="Times New Roman" w:hAnsi="Times New Roman" w:eastAsia="仿宋_GB2312" w:cs="Times New Roman"/>
          <w:color w:val="auto"/>
        </w:rPr>
      </w:pPr>
    </w:p>
    <w:p w14:paraId="5738AC83">
      <w:pPr>
        <w:rPr>
          <w:rFonts w:hint="default" w:ascii="Times New Roman" w:hAnsi="Times New Roman" w:eastAsia="仿宋_GB2312" w:cs="Times New Roman"/>
          <w:color w:val="auto"/>
        </w:rPr>
      </w:pPr>
    </w:p>
    <w:p w14:paraId="203C84B5">
      <w:pPr>
        <w:rPr>
          <w:rFonts w:hint="default" w:ascii="Times New Roman" w:hAnsi="Times New Roman" w:eastAsia="仿宋_GB2312" w:cs="Times New Roman"/>
          <w:color w:val="auto"/>
        </w:rPr>
      </w:pPr>
    </w:p>
    <w:p w14:paraId="5181945F">
      <w:pPr>
        <w:rPr>
          <w:rFonts w:hint="default" w:ascii="Times New Roman" w:hAnsi="Times New Roman" w:eastAsia="仿宋_GB2312" w:cs="Times New Roman"/>
          <w:color w:val="auto"/>
        </w:rPr>
      </w:pPr>
    </w:p>
    <w:p w14:paraId="4EF642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right="0"/>
        <w:jc w:val="left"/>
        <w:rPr>
          <w:rFonts w:hint="eastAsia" w:ascii="黑体" w:hAnsi="黑体" w:eastAsia="黑体" w:cs="黑体"/>
          <w:color w:val="auto"/>
          <w:spacing w:val="6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附件2：</w:t>
      </w:r>
    </w:p>
    <w:p w14:paraId="7185A2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right="0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双江自治县“三公”经费口径说明</w:t>
      </w:r>
    </w:p>
    <w:p w14:paraId="112DEB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 w14:paraId="0D9137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按照党中央、国务院有关文件及部门预算管理有关规定，“三公”经费包括因公出国（境）费、公务用车购置及运行维护费和公务接待费。</w:t>
      </w:r>
    </w:p>
    <w:p w14:paraId="5BF9BD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6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一、因公出国（境）费，指单位公务出国（境）的国际旅费、国外城市间交通费、住宿费、伙食费、培训费、公杂费等支出。</w:t>
      </w:r>
    </w:p>
    <w:p w14:paraId="611AF2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6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二、公务用车购置费，指单位公务用车购置支出（含车辆购置税、牌照费等）；公务用车运行维护费，指单位按规定保留的公务用车燃料费、维修费、过路过桥费、保险费、安全奖励费用等支出。</w:t>
      </w:r>
    </w:p>
    <w:p w14:paraId="587BEB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6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三、公务接待费，指单位按规定开支的各类公务接待（含外宾接待）费用。 </w:t>
      </w:r>
    </w:p>
    <w:p w14:paraId="078F37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6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    四、“三公”经费决算数：指各部门（含下属单位）用一般公共预算财政拨款（含上年结转结余和当年预算）安排的因公出国（境）费、公务用车购置及运行维护费和公务接待费支出数。</w:t>
      </w:r>
    </w:p>
    <w:p w14:paraId="7DEA9633">
      <w:pPr>
        <w:rPr>
          <w:rFonts w:hint="default" w:ascii="Times New Roman" w:hAnsi="Times New Roman" w:eastAsia="仿宋_GB2312" w:cs="Times New Roman"/>
          <w:color w:val="auto"/>
        </w:rPr>
      </w:pPr>
    </w:p>
    <w:sectPr>
      <w:headerReference r:id="rId3" w:type="default"/>
      <w:footerReference r:id="rId4" w:type="default"/>
      <w:pgSz w:w="11906" w:h="16838"/>
      <w:pgMar w:top="2098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DC50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449FB1"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449FB1"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BBD1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YWYyYWU0OWVjZTdmM2YwMGExZjk0MTcyNWRmNzQifQ=="/>
  </w:docVars>
  <w:rsids>
    <w:rsidRoot w:val="3C117520"/>
    <w:rsid w:val="00FF6447"/>
    <w:rsid w:val="05F81E6F"/>
    <w:rsid w:val="09635FB7"/>
    <w:rsid w:val="0B3B56F1"/>
    <w:rsid w:val="0C1A6778"/>
    <w:rsid w:val="0C6F2588"/>
    <w:rsid w:val="0CCC3E9A"/>
    <w:rsid w:val="0D4B4A5F"/>
    <w:rsid w:val="0FE42FFF"/>
    <w:rsid w:val="10FB145D"/>
    <w:rsid w:val="110E4E07"/>
    <w:rsid w:val="11754B12"/>
    <w:rsid w:val="14D11877"/>
    <w:rsid w:val="15AA7E92"/>
    <w:rsid w:val="15E421DA"/>
    <w:rsid w:val="17784DF6"/>
    <w:rsid w:val="1A1E7BA7"/>
    <w:rsid w:val="1A541487"/>
    <w:rsid w:val="1AC2180F"/>
    <w:rsid w:val="1C5E249A"/>
    <w:rsid w:val="1D253A8C"/>
    <w:rsid w:val="1D665E94"/>
    <w:rsid w:val="1E453544"/>
    <w:rsid w:val="20C349DD"/>
    <w:rsid w:val="22482A2D"/>
    <w:rsid w:val="231A2F3B"/>
    <w:rsid w:val="242321B7"/>
    <w:rsid w:val="26BA5DE9"/>
    <w:rsid w:val="2724437D"/>
    <w:rsid w:val="29CF1602"/>
    <w:rsid w:val="2B5500B1"/>
    <w:rsid w:val="2BA540FD"/>
    <w:rsid w:val="2E957B94"/>
    <w:rsid w:val="2EC04039"/>
    <w:rsid w:val="304D6C32"/>
    <w:rsid w:val="308816AA"/>
    <w:rsid w:val="32A24467"/>
    <w:rsid w:val="34201BE5"/>
    <w:rsid w:val="365C1591"/>
    <w:rsid w:val="37C76042"/>
    <w:rsid w:val="385A57F5"/>
    <w:rsid w:val="397D66C8"/>
    <w:rsid w:val="3C117520"/>
    <w:rsid w:val="3CA06C42"/>
    <w:rsid w:val="3CF06794"/>
    <w:rsid w:val="3D2F3F2E"/>
    <w:rsid w:val="3E4A2F09"/>
    <w:rsid w:val="3EBB5344"/>
    <w:rsid w:val="3F3E3F9A"/>
    <w:rsid w:val="3F7E27F6"/>
    <w:rsid w:val="3FBD2FD7"/>
    <w:rsid w:val="4043608A"/>
    <w:rsid w:val="429F385C"/>
    <w:rsid w:val="42DA33CF"/>
    <w:rsid w:val="43BA130B"/>
    <w:rsid w:val="44AC07B6"/>
    <w:rsid w:val="491D535E"/>
    <w:rsid w:val="494A61E9"/>
    <w:rsid w:val="49517996"/>
    <w:rsid w:val="4A314385"/>
    <w:rsid w:val="4A8D3D12"/>
    <w:rsid w:val="4B5D3B7E"/>
    <w:rsid w:val="4C5B1FD3"/>
    <w:rsid w:val="4D2A689B"/>
    <w:rsid w:val="4D7E7524"/>
    <w:rsid w:val="4DDF311B"/>
    <w:rsid w:val="4E43677D"/>
    <w:rsid w:val="51050223"/>
    <w:rsid w:val="529643D8"/>
    <w:rsid w:val="53BE6AF7"/>
    <w:rsid w:val="547237E2"/>
    <w:rsid w:val="54E209F4"/>
    <w:rsid w:val="5661026A"/>
    <w:rsid w:val="577B4C0F"/>
    <w:rsid w:val="57C2109B"/>
    <w:rsid w:val="5A051AA1"/>
    <w:rsid w:val="5AFE6F67"/>
    <w:rsid w:val="5F4C11C6"/>
    <w:rsid w:val="5FBC7439"/>
    <w:rsid w:val="60885EE0"/>
    <w:rsid w:val="6314344E"/>
    <w:rsid w:val="65A67A79"/>
    <w:rsid w:val="662436F9"/>
    <w:rsid w:val="685E7576"/>
    <w:rsid w:val="69F82701"/>
    <w:rsid w:val="6B4221EB"/>
    <w:rsid w:val="6D0859AB"/>
    <w:rsid w:val="6FE5027D"/>
    <w:rsid w:val="719714FF"/>
    <w:rsid w:val="727E0AB0"/>
    <w:rsid w:val="76C72890"/>
    <w:rsid w:val="76F74060"/>
    <w:rsid w:val="77507449"/>
    <w:rsid w:val="77515FB4"/>
    <w:rsid w:val="77F1423A"/>
    <w:rsid w:val="78872B75"/>
    <w:rsid w:val="78CB6CFD"/>
    <w:rsid w:val="7A360F77"/>
    <w:rsid w:val="7B9F0627"/>
    <w:rsid w:val="7C2A2A7A"/>
    <w:rsid w:val="7C5B48D2"/>
    <w:rsid w:val="7D0D2555"/>
    <w:rsid w:val="7E2365CB"/>
    <w:rsid w:val="7E2959B0"/>
    <w:rsid w:val="7F1C4B9A"/>
    <w:rsid w:val="7FDE25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curr"/>
    <w:basedOn w:val="6"/>
    <w:qFormat/>
    <w:uiPriority w:val="0"/>
    <w:rPr>
      <w:shd w:val="clear" w:fill="2E6EBB"/>
    </w:rPr>
  </w:style>
  <w:style w:type="character" w:customStyle="1" w:styleId="11">
    <w:name w:val="curr3"/>
    <w:basedOn w:val="6"/>
    <w:qFormat/>
    <w:uiPriority w:val="0"/>
    <w:rPr>
      <w:shd w:val="clear" w:fill="2E6EB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临沧市双江县党政机关单位</Company>
  <Pages>5</Pages>
  <Words>1499</Words>
  <Characters>1799</Characters>
  <Lines>0</Lines>
  <Paragraphs>0</Paragraphs>
  <TotalTime>9</TotalTime>
  <ScaleCrop>false</ScaleCrop>
  <LinksUpToDate>false</LinksUpToDate>
  <CharactersWithSpaces>1831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2020-08-24T08:25:00Z</dcterms:created>
  <dc:creator>Administrator</dc:creator>
  <cp:lastModifiedBy>罗</cp:lastModifiedBy>
  <dcterms:modified xsi:type="dcterms:W3CDTF">2024-11-13T03:42:00Z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B00A6592E7F3422ABB178C00ABDE3DED_13</vt:lpwstr>
  </property>
</Properties>
</file>