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5BC3A3">
      <w:pPr>
        <w:rPr>
          <w:rFonts w:hint="default" w:ascii="Times New Roman" w:hAnsi="Times New Roman" w:eastAsia="仿宋" w:cs="Times New Roman"/>
          <w:sz w:val="32"/>
          <w:szCs w:val="32"/>
        </w:rPr>
      </w:pPr>
    </w:p>
    <w:p w14:paraId="7CBC9836">
      <w:pPr>
        <w:rPr>
          <w:rFonts w:hint="default" w:ascii="Times New Roman" w:hAnsi="Times New Roman" w:eastAsia="仿宋" w:cs="Times New Roman"/>
          <w:sz w:val="32"/>
          <w:szCs w:val="32"/>
        </w:rPr>
      </w:pPr>
    </w:p>
    <w:p w14:paraId="3617F4A3">
      <w:pPr>
        <w:rPr>
          <w:rFonts w:hint="default" w:ascii="Times New Roman" w:hAnsi="Times New Roman" w:eastAsia="仿宋" w:cs="Times New Roman"/>
          <w:sz w:val="32"/>
          <w:szCs w:val="32"/>
        </w:rPr>
      </w:pPr>
    </w:p>
    <w:p w14:paraId="1E9B90FC">
      <w:pPr>
        <w:rPr>
          <w:rFonts w:hint="default" w:ascii="Times New Roman" w:hAnsi="Times New Roman" w:eastAsia="仿宋" w:cs="Times New Roman"/>
          <w:sz w:val="32"/>
          <w:szCs w:val="32"/>
        </w:rPr>
      </w:pPr>
    </w:p>
    <w:p w14:paraId="3D6C469E">
      <w:pPr>
        <w:rPr>
          <w:rFonts w:hint="default" w:ascii="Times New Roman" w:hAnsi="Times New Roman" w:eastAsia="仿宋" w:cs="Times New Roman"/>
          <w:sz w:val="32"/>
          <w:szCs w:val="32"/>
        </w:rPr>
      </w:pPr>
    </w:p>
    <w:p w14:paraId="0821F1C7">
      <w:pPr>
        <w:rPr>
          <w:rFonts w:hint="default" w:ascii="Times New Roman" w:hAnsi="Times New Roman" w:eastAsia="仿宋" w:cs="Times New Roman"/>
          <w:sz w:val="32"/>
          <w:szCs w:val="32"/>
        </w:rPr>
      </w:pPr>
    </w:p>
    <w:p w14:paraId="68F6EA3A">
      <w:pPr>
        <w:rPr>
          <w:rFonts w:hint="default" w:ascii="Times New Roman" w:hAnsi="Times New Roman" w:eastAsia="仿宋" w:cs="Times New Roman"/>
          <w:sz w:val="32"/>
          <w:szCs w:val="32"/>
        </w:rPr>
      </w:pPr>
    </w:p>
    <w:p w14:paraId="6E33029F">
      <w:pPr>
        <w:spacing w:line="320" w:lineRule="exact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</w:rPr>
        <w:t>双财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lang w:val="en-US" w:eastAsia="zh-CN"/>
        </w:rPr>
        <w:t>农发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</w:rPr>
        <w:t>〔20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</w:rPr>
        <w:t>〕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lang w:val="en-US" w:eastAsia="zh-CN"/>
        </w:rPr>
        <w:t>40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</w:rPr>
        <w:t>号</w:t>
      </w:r>
    </w:p>
    <w:p w14:paraId="3F473FE6">
      <w:pPr>
        <w:rPr>
          <w:rFonts w:hint="default" w:ascii="Times New Roman" w:hAnsi="Times New Roman" w:eastAsia="方正小标宋简体" w:cs="Times New Roman"/>
          <w:b/>
          <w:bCs/>
          <w:color w:val="auto"/>
          <w:sz w:val="13"/>
          <w:szCs w:val="13"/>
          <w:lang w:eastAsia="zh-CN"/>
        </w:rPr>
      </w:pPr>
    </w:p>
    <w:p w14:paraId="72B4F76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方正小标宋简体" w:cs="Times New Roman"/>
          <w:b/>
          <w:bCs/>
          <w:color w:val="auto"/>
          <w:sz w:val="13"/>
          <w:szCs w:val="13"/>
          <w:lang w:eastAsia="zh-CN"/>
        </w:rPr>
      </w:pPr>
    </w:p>
    <w:p w14:paraId="14ABBD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</w:pPr>
      <w:bookmarkStart w:id="0" w:name="OLE_LINK3"/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双江自治县财政局关于下达202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年省级财政衔接推进乡村振兴补助资金（第三批）和部分指标调整的通知</w:t>
      </w:r>
    </w:p>
    <w:bookmarkEnd w:id="0"/>
    <w:p w14:paraId="0C002A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</w:p>
    <w:p w14:paraId="3A600D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各乡（镇）人民政府、县农业农村局、县地方产业发展服务中心、县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人力资源和</w:t>
      </w:r>
      <w:bookmarkStart w:id="3" w:name="_GoBack"/>
      <w:bookmarkEnd w:id="3"/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社会保障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局：</w:t>
      </w:r>
    </w:p>
    <w:p w14:paraId="7C327F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根据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《临沧市财政局关于下达2024 年省级财政衔接推进乡村振兴补助资金（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第三批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）的通知》(临财农发〔202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4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〕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99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号)和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《双江自治县人民政府关于同意分配 2024年省级财政衔接推进乡村振兴补助资金（第三批）和部分指标进行调整的批复》（双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政复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〔2024〕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152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号）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，现将2024年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省级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财政衔接推进乡村振兴补助资金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（第三批）557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万元下达给你们</w:t>
      </w:r>
      <w:bookmarkStart w:id="1" w:name="OLE_LINK1"/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（具体金额及项目名称详见附表1）</w:t>
      </w:r>
      <w:bookmarkEnd w:id="1"/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，请各单位根据实际用途列入2024年“21305-巩固脱贫衔接乡村振兴”下的末级科目，</w:t>
      </w:r>
      <w:r>
        <w:rPr>
          <w:rFonts w:hint="eastAsia" w:ascii="Times New Roman" w:hAnsi="Times New Roman" w:eastAsia="仿宋_GB2312" w:cstheme="majorBidi"/>
          <w:sz w:val="32"/>
          <w:szCs w:val="32"/>
          <w:lang w:val="en-US" w:eastAsia="zh-CN"/>
        </w:rPr>
        <w:t>同时由于2024年衔接资金缺口较大，对部分难以实施项目资金指标进行调整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（具体金额及项目名称详见附表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）</w:t>
      </w:r>
      <w:r>
        <w:rPr>
          <w:rFonts w:hint="eastAsia" w:ascii="Times New Roman" w:hAnsi="Times New Roman" w:eastAsia="仿宋_GB2312" w:cstheme="majorBidi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并就有关事项通知如下：</w:t>
      </w:r>
    </w:p>
    <w:p w14:paraId="130CD8C9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本次下达资金按国库集中支付制度拨付，请按照相关规定到县财政局办理拨付资金审批手续。</w:t>
      </w:r>
    </w:p>
    <w:p w14:paraId="2D4581DC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要认真贯彻落实党中央、国务院关于脱贫攻坚与实施乡村振兴战略有机衔接的有关精神，切实管好用好财政衔接推进乡村振兴补助资金，充分发挥资金使用效益。</w:t>
      </w:r>
    </w:p>
    <w:p w14:paraId="4E712709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三、加强和规范乡村振兴项目资金绩效管理，做好财政扶贫资金绩效管理工作，将预算绩效管理贯穿于绩效目标编制、绩效跟踪、绩效评价及结果运用等各环节，确保资金安全有效。</w:t>
      </w:r>
    </w:p>
    <w:p w14:paraId="6127818A"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四、请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按照《云南省全面实施扶贫资金项目公示公告制度的实施意见》，对涉及乡村振兴资金项目内容信息及时予以公开，主动接受社会监督。</w:t>
      </w:r>
    </w:p>
    <w:p w14:paraId="53282B20"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leftChars="0" w:right="0" w:rightChars="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4903BBA6"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bookmarkStart w:id="2" w:name="OLE_LINK2"/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1</w:t>
      </w:r>
      <w:bookmarkEnd w:id="2"/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：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2024年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省级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财政衔接推进乡村振兴补助资金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（第三批）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分配表</w:t>
      </w:r>
    </w:p>
    <w:p w14:paraId="304C5CBB"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附件2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：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2024年财政衔接资金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指标调整情况表</w:t>
      </w:r>
    </w:p>
    <w:p w14:paraId="6F92916A"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附件3：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2024年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省级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财政衔接推进乡村振兴补助资金项目绩效目标表</w:t>
      </w:r>
    </w:p>
    <w:p w14:paraId="7DBE073D">
      <w:pPr>
        <w:pStyle w:val="3"/>
        <w:rPr>
          <w:rFonts w:hint="default"/>
          <w:lang w:val="en-US" w:eastAsia="zh-CN"/>
        </w:rPr>
      </w:pPr>
    </w:p>
    <w:p w14:paraId="1CF2CB8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718D92A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</w:p>
    <w:p w14:paraId="6303DE2B">
      <w:pPr>
        <w:pStyle w:val="2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2667B3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5120" w:firstLineChars="1600"/>
        <w:jc w:val="both"/>
        <w:textAlignment w:val="auto"/>
        <w:outlineLvl w:val="9"/>
        <w:rPr>
          <w:rFonts w:hint="default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2024年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17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</w:t>
      </w:r>
    </w:p>
    <w:p w14:paraId="5578AB76"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660A52D9">
      <w:pPr>
        <w:pStyle w:val="2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33288443"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42FC5D14">
      <w:pPr>
        <w:pStyle w:val="2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53FC302F"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4C59C15E">
      <w:pPr>
        <w:pStyle w:val="2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4141FAAF"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3B984905">
      <w:pPr>
        <w:pStyle w:val="2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788FB6C4"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69F2AC38">
      <w:pPr>
        <w:pStyle w:val="2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72FCEFF4"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478C0373">
      <w:pPr>
        <w:pStyle w:val="2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5C53C1C0"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5CD6ADFA">
      <w:pPr>
        <w:pStyle w:val="2"/>
        <w:rPr>
          <w:rFonts w:hint="default"/>
        </w:rPr>
      </w:pPr>
    </w:p>
    <w:p w14:paraId="7E9F49E0">
      <w:pPr>
        <w:pStyle w:val="2"/>
        <w:rPr>
          <w:rFonts w:hint="default"/>
        </w:rPr>
      </w:pPr>
    </w:p>
    <w:p w14:paraId="5312D9BE">
      <w:pPr>
        <w:pStyle w:val="2"/>
        <w:rPr>
          <w:rFonts w:hint="default"/>
        </w:rPr>
      </w:pPr>
    </w:p>
    <w:p w14:paraId="25EE531C">
      <w:pPr>
        <w:rPr>
          <w:rFonts w:hint="default"/>
        </w:rPr>
      </w:pPr>
    </w:p>
    <w:p w14:paraId="2B4D529C">
      <w:pPr>
        <w:pStyle w:val="3"/>
        <w:rPr>
          <w:rFonts w:hint="default"/>
        </w:rPr>
      </w:pPr>
    </w:p>
    <w:p w14:paraId="0E007EA5">
      <w:pPr>
        <w:rPr>
          <w:rFonts w:hint="default"/>
        </w:rPr>
      </w:pPr>
    </w:p>
    <w:p w14:paraId="166127B3">
      <w:pPr>
        <w:pStyle w:val="3"/>
        <w:rPr>
          <w:rFonts w:hint="default"/>
        </w:rPr>
      </w:pPr>
    </w:p>
    <w:p w14:paraId="4AA97DEA">
      <w:pPr>
        <w:keepNext w:val="0"/>
        <w:keepLines w:val="0"/>
        <w:pageBreakBefore w:val="0"/>
        <w:widowControl w:val="0"/>
        <w:pBdr>
          <w:top w:val="single" w:color="auto" w:sz="4" w:space="0"/>
          <w:bottom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28"/>
          <w:szCs w:val="28"/>
          <w:lang w:val="en-US" w:eastAsia="zh-CN"/>
        </w:rPr>
        <w:t xml:space="preserve">  双江自治县财政局办公室                  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17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日印发</w:t>
      </w:r>
    </w:p>
    <w:sectPr>
      <w:headerReference r:id="rId3" w:type="default"/>
      <w:footerReference r:id="rId4" w:type="default"/>
      <w:pgSz w:w="11906" w:h="16838"/>
      <w:pgMar w:top="2098" w:right="1474" w:bottom="1701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9748A0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6DDA8D8">
                          <w:pPr>
                            <w:snapToGrid w:val="0"/>
                            <w:rPr>
                              <w:rFonts w:hint="eastAsia" w:asciiTheme="majorEastAsia" w:hAnsiTheme="majorEastAsia" w:eastAsiaTheme="majorEastAsia" w:cstheme="majorEastAsia"/>
                              <w:b/>
                              <w:bCs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b/>
                              <w:bCs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b/>
                              <w:bCs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b/>
                              <w:bCs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b/>
                              <w:bCs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b/>
                              <w:bCs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6DDA8D8">
                    <w:pPr>
                      <w:snapToGrid w:val="0"/>
                      <w:rPr>
                        <w:rFonts w:hint="eastAsia" w:asciiTheme="majorEastAsia" w:hAnsiTheme="majorEastAsia" w:eastAsiaTheme="majorEastAsia" w:cstheme="majorEastAsia"/>
                        <w:b/>
                        <w:bCs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b/>
                        <w:bCs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b/>
                        <w:bCs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b/>
                        <w:bCs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b/>
                        <w:bCs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b/>
                        <w:bCs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DC047E"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9484731"/>
    <w:multiLevelType w:val="singleLevel"/>
    <w:tmpl w:val="3948473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kYjNjMmIxNzkwOWZhZDMzNWNiY2ZjZTZkZTk1MWMifQ=="/>
  </w:docVars>
  <w:rsids>
    <w:rsidRoot w:val="781A5E34"/>
    <w:rsid w:val="04B37F17"/>
    <w:rsid w:val="06BC0E83"/>
    <w:rsid w:val="1A187A3B"/>
    <w:rsid w:val="258E5282"/>
    <w:rsid w:val="2EE96C29"/>
    <w:rsid w:val="33A56B10"/>
    <w:rsid w:val="390743C3"/>
    <w:rsid w:val="50D21EEB"/>
    <w:rsid w:val="54F372B3"/>
    <w:rsid w:val="58464C5E"/>
    <w:rsid w:val="5AC13E20"/>
    <w:rsid w:val="65447D45"/>
    <w:rsid w:val="66E8749F"/>
    <w:rsid w:val="781A5E34"/>
    <w:rsid w:val="7A721A4A"/>
    <w:rsid w:val="7C5D2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1"/>
    <w:qFormat/>
    <w:uiPriority w:val="0"/>
    <w:rPr>
      <w:rFonts w:ascii="宋体" w:hAnsi="Courier New" w:eastAsia="宋体" w:cs="Courier New"/>
      <w:szCs w:val="2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临沧市双江县党政机关单位</Company>
  <Pages>4</Pages>
  <Words>708</Words>
  <Characters>766</Characters>
  <Lines>0</Lines>
  <Paragraphs>0</Paragraphs>
  <TotalTime>0</TotalTime>
  <ScaleCrop>false</ScaleCrop>
  <LinksUpToDate>false</LinksUpToDate>
  <CharactersWithSpaces>790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2024-01-26T01:33:00Z</dcterms:created>
  <dc:creator>Whisper</dc:creator>
  <cp:lastModifiedBy>杨光瑜</cp:lastModifiedBy>
  <cp:lastPrinted>2024-02-02T08:40:00Z</cp:lastPrinted>
  <dcterms:modified xsi:type="dcterms:W3CDTF">2024-12-11T00:58:10Z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70EBCBDFA4AE4AF696B41468C9844900</vt:lpwstr>
  </property>
</Properties>
</file>